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E2B2" w14:textId="77777777" w:rsidR="00AD5DAC" w:rsidRDefault="00AD5DAC" w:rsidP="00AD5DAC">
      <w:pPr>
        <w:rPr>
          <w:rStyle w:val="salnbdy"/>
          <w:rFonts w:ascii="Verdana" w:hAnsi="Verdana"/>
          <w:color w:val="000000"/>
          <w:sz w:val="23"/>
          <w:szCs w:val="23"/>
          <w:bdr w:val="none" w:sz="0" w:space="0" w:color="auto" w:frame="1"/>
          <w:shd w:val="clear" w:color="auto" w:fill="FFFFFF"/>
        </w:rPr>
      </w:pPr>
    </w:p>
    <w:p w14:paraId="1156CC8B" w14:textId="6668F05C" w:rsidR="00AD5DAC" w:rsidRPr="00AD5DAC" w:rsidRDefault="00AD5DAC" w:rsidP="00AD5DAC">
      <w:pPr>
        <w:rPr>
          <w:rStyle w:val="salnbdy"/>
          <w:rFonts w:ascii="Verdana" w:hAnsi="Verdana"/>
          <w:color w:val="000000"/>
          <w:sz w:val="23"/>
          <w:szCs w:val="23"/>
          <w:bdr w:val="none" w:sz="0" w:space="0" w:color="auto" w:frame="1"/>
          <w:shd w:val="clear" w:color="auto" w:fill="FFFFFF"/>
        </w:rPr>
      </w:pPr>
      <w:r w:rsidRPr="00AD5DAC">
        <w:rPr>
          <w:rStyle w:val="salnbdy"/>
          <w:rFonts w:ascii="Verdana" w:hAnsi="Verdana"/>
          <w:color w:val="000000"/>
          <w:sz w:val="23"/>
          <w:szCs w:val="23"/>
          <w:bdr w:val="none" w:sz="0" w:space="0" w:color="auto" w:frame="1"/>
          <w:shd w:val="clear" w:color="auto" w:fill="FFFFFF"/>
        </w:rPr>
        <w:t>În atenția unităților conexe</w:t>
      </w:r>
    </w:p>
    <w:tbl>
      <w:tblPr>
        <w:tblW w:w="7230" w:type="dxa"/>
        <w:tblLook w:val="04A0" w:firstRow="1" w:lastRow="0" w:firstColumn="1" w:lastColumn="0" w:noHBand="0" w:noVBand="1"/>
      </w:tblPr>
      <w:tblGrid>
        <w:gridCol w:w="7230"/>
      </w:tblGrid>
      <w:tr w:rsidR="00AD5DAC" w:rsidRPr="00AD5DAC" w14:paraId="213F9F99" w14:textId="77777777" w:rsidTr="00AD5DAC">
        <w:trPr>
          <w:trHeight w:val="300"/>
        </w:trPr>
        <w:tc>
          <w:tcPr>
            <w:tcW w:w="7230" w:type="dxa"/>
            <w:tcBorders>
              <w:top w:val="nil"/>
              <w:left w:val="nil"/>
              <w:bottom w:val="nil"/>
              <w:right w:val="nil"/>
            </w:tcBorders>
            <w:shd w:val="clear" w:color="auto" w:fill="auto"/>
            <w:noWrap/>
            <w:vAlign w:val="bottom"/>
            <w:hideMark/>
          </w:tcPr>
          <w:p w14:paraId="2EB2ED20" w14:textId="77777777" w:rsidR="00AD5DAC" w:rsidRPr="00AD5DAC" w:rsidRDefault="00AD5DAC" w:rsidP="00AD5DAC">
            <w:pPr>
              <w:pStyle w:val="Listparagraf"/>
              <w:numPr>
                <w:ilvl w:val="0"/>
                <w:numId w:val="1"/>
              </w:numPr>
              <w:rPr>
                <w:rStyle w:val="salnbdy"/>
                <w:rFonts w:ascii="Verdana" w:hAnsi="Verdana"/>
                <w:sz w:val="23"/>
                <w:szCs w:val="23"/>
                <w:bdr w:val="none" w:sz="0" w:space="0" w:color="auto" w:frame="1"/>
                <w:shd w:val="clear" w:color="auto" w:fill="FFFFFF"/>
              </w:rPr>
            </w:pPr>
            <w:r w:rsidRPr="00AD5DAC">
              <w:rPr>
                <w:rStyle w:val="salnbdy"/>
                <w:rFonts w:ascii="Verdana" w:hAnsi="Verdana"/>
                <w:sz w:val="23"/>
                <w:szCs w:val="23"/>
                <w:bdr w:val="none" w:sz="0" w:space="0" w:color="auto" w:frame="1"/>
                <w:shd w:val="clear" w:color="auto" w:fill="FFFFFF"/>
              </w:rPr>
              <w:t>Clubul Sportiv Scolar Nr. 2 Baia Mare</w:t>
            </w:r>
          </w:p>
        </w:tc>
      </w:tr>
      <w:tr w:rsidR="00AD5DAC" w:rsidRPr="00AD5DAC" w14:paraId="74F5885A" w14:textId="77777777" w:rsidTr="00AD5DAC">
        <w:trPr>
          <w:trHeight w:val="300"/>
        </w:trPr>
        <w:tc>
          <w:tcPr>
            <w:tcW w:w="7230" w:type="dxa"/>
            <w:tcBorders>
              <w:top w:val="nil"/>
              <w:left w:val="nil"/>
              <w:bottom w:val="nil"/>
              <w:right w:val="nil"/>
            </w:tcBorders>
            <w:shd w:val="clear" w:color="auto" w:fill="auto"/>
            <w:noWrap/>
            <w:vAlign w:val="bottom"/>
            <w:hideMark/>
          </w:tcPr>
          <w:p w14:paraId="20DA6230" w14:textId="77777777" w:rsidR="00AD5DAC" w:rsidRPr="00AD5DAC" w:rsidRDefault="00AD5DAC" w:rsidP="00AD5DAC">
            <w:pPr>
              <w:pStyle w:val="Listparagraf"/>
              <w:numPr>
                <w:ilvl w:val="0"/>
                <w:numId w:val="1"/>
              </w:numPr>
              <w:rPr>
                <w:rStyle w:val="salnbdy"/>
                <w:rFonts w:ascii="Verdana" w:hAnsi="Verdana"/>
                <w:sz w:val="23"/>
                <w:szCs w:val="23"/>
                <w:bdr w:val="none" w:sz="0" w:space="0" w:color="auto" w:frame="1"/>
                <w:shd w:val="clear" w:color="auto" w:fill="FFFFFF"/>
              </w:rPr>
            </w:pPr>
            <w:r w:rsidRPr="00AD5DAC">
              <w:rPr>
                <w:rStyle w:val="salnbdy"/>
                <w:rFonts w:ascii="Verdana" w:hAnsi="Verdana"/>
                <w:sz w:val="23"/>
                <w:szCs w:val="23"/>
                <w:bdr w:val="none" w:sz="0" w:space="0" w:color="auto" w:frame="1"/>
                <w:shd w:val="clear" w:color="auto" w:fill="FFFFFF"/>
              </w:rPr>
              <w:t>Palatul Copiilor Baia Mare</w:t>
            </w:r>
          </w:p>
        </w:tc>
      </w:tr>
      <w:tr w:rsidR="00AD5DAC" w:rsidRPr="00AD5DAC" w14:paraId="728612D2" w14:textId="77777777" w:rsidTr="00AD5DAC">
        <w:trPr>
          <w:trHeight w:val="300"/>
        </w:trPr>
        <w:tc>
          <w:tcPr>
            <w:tcW w:w="7230" w:type="dxa"/>
            <w:tcBorders>
              <w:top w:val="nil"/>
              <w:left w:val="nil"/>
              <w:bottom w:val="nil"/>
              <w:right w:val="nil"/>
            </w:tcBorders>
            <w:shd w:val="clear" w:color="auto" w:fill="auto"/>
            <w:noWrap/>
            <w:vAlign w:val="bottom"/>
            <w:hideMark/>
          </w:tcPr>
          <w:p w14:paraId="0A7CD863" w14:textId="77777777" w:rsidR="00AD5DAC" w:rsidRPr="00AD5DAC" w:rsidRDefault="00AD5DAC" w:rsidP="00AD5DAC">
            <w:pPr>
              <w:pStyle w:val="Listparagraf"/>
              <w:numPr>
                <w:ilvl w:val="0"/>
                <w:numId w:val="1"/>
              </w:numPr>
              <w:rPr>
                <w:rStyle w:val="salnbdy"/>
                <w:rFonts w:ascii="Verdana" w:hAnsi="Verdana"/>
                <w:sz w:val="23"/>
                <w:szCs w:val="23"/>
                <w:bdr w:val="none" w:sz="0" w:space="0" w:color="auto" w:frame="1"/>
                <w:shd w:val="clear" w:color="auto" w:fill="FFFFFF"/>
              </w:rPr>
            </w:pPr>
            <w:r w:rsidRPr="00AD5DAC">
              <w:rPr>
                <w:rStyle w:val="salnbdy"/>
                <w:rFonts w:ascii="Verdana" w:hAnsi="Verdana"/>
                <w:sz w:val="23"/>
                <w:szCs w:val="23"/>
                <w:bdr w:val="none" w:sz="0" w:space="0" w:color="auto" w:frame="1"/>
                <w:shd w:val="clear" w:color="auto" w:fill="FFFFFF"/>
              </w:rPr>
              <w:t xml:space="preserve">Clubul Sportiv Scolar Sighetu </w:t>
            </w:r>
            <w:proofErr w:type="spellStart"/>
            <w:r w:rsidRPr="00AD5DAC">
              <w:rPr>
                <w:rStyle w:val="salnbdy"/>
                <w:rFonts w:ascii="Verdana" w:hAnsi="Verdana"/>
                <w:sz w:val="23"/>
                <w:szCs w:val="23"/>
                <w:bdr w:val="none" w:sz="0" w:space="0" w:color="auto" w:frame="1"/>
                <w:shd w:val="clear" w:color="auto" w:fill="FFFFFF"/>
              </w:rPr>
              <w:t>Marmatiei</w:t>
            </w:r>
            <w:proofErr w:type="spellEnd"/>
          </w:p>
        </w:tc>
      </w:tr>
      <w:tr w:rsidR="00AD5DAC" w:rsidRPr="00AD5DAC" w14:paraId="683B1261" w14:textId="77777777" w:rsidTr="00AD5DAC">
        <w:trPr>
          <w:trHeight w:val="300"/>
        </w:trPr>
        <w:tc>
          <w:tcPr>
            <w:tcW w:w="7230" w:type="dxa"/>
            <w:tcBorders>
              <w:top w:val="nil"/>
              <w:left w:val="nil"/>
              <w:bottom w:val="nil"/>
              <w:right w:val="nil"/>
            </w:tcBorders>
            <w:shd w:val="clear" w:color="auto" w:fill="auto"/>
            <w:noWrap/>
            <w:vAlign w:val="bottom"/>
            <w:hideMark/>
          </w:tcPr>
          <w:p w14:paraId="1C8CFFB9" w14:textId="77777777" w:rsidR="00AD5DAC" w:rsidRPr="00AD5DAC" w:rsidRDefault="00AD5DAC" w:rsidP="00AD5DAC">
            <w:pPr>
              <w:pStyle w:val="Listparagraf"/>
              <w:numPr>
                <w:ilvl w:val="0"/>
                <w:numId w:val="1"/>
              </w:numPr>
              <w:rPr>
                <w:rStyle w:val="salnbdy"/>
                <w:rFonts w:ascii="Verdana" w:hAnsi="Verdana"/>
                <w:sz w:val="23"/>
                <w:szCs w:val="23"/>
                <w:bdr w:val="none" w:sz="0" w:space="0" w:color="auto" w:frame="1"/>
                <w:shd w:val="clear" w:color="auto" w:fill="FFFFFF"/>
              </w:rPr>
            </w:pPr>
            <w:r w:rsidRPr="00AD5DAC">
              <w:rPr>
                <w:rStyle w:val="salnbdy"/>
                <w:rFonts w:ascii="Verdana" w:hAnsi="Verdana"/>
                <w:sz w:val="23"/>
                <w:szCs w:val="23"/>
                <w:bdr w:val="none" w:sz="0" w:space="0" w:color="auto" w:frame="1"/>
                <w:shd w:val="clear" w:color="auto" w:fill="FFFFFF"/>
              </w:rPr>
              <w:t xml:space="preserve">Clubul Copiilor Sighetu </w:t>
            </w:r>
            <w:proofErr w:type="spellStart"/>
            <w:r w:rsidRPr="00AD5DAC">
              <w:rPr>
                <w:rStyle w:val="salnbdy"/>
                <w:rFonts w:ascii="Verdana" w:hAnsi="Verdana"/>
                <w:sz w:val="23"/>
                <w:szCs w:val="23"/>
                <w:bdr w:val="none" w:sz="0" w:space="0" w:color="auto" w:frame="1"/>
                <w:shd w:val="clear" w:color="auto" w:fill="FFFFFF"/>
              </w:rPr>
              <w:t>Marmatiei</w:t>
            </w:r>
            <w:proofErr w:type="spellEnd"/>
          </w:p>
        </w:tc>
      </w:tr>
      <w:tr w:rsidR="00AD5DAC" w:rsidRPr="00AD5DAC" w14:paraId="673FF457" w14:textId="77777777" w:rsidTr="00AD5DAC">
        <w:trPr>
          <w:trHeight w:val="300"/>
        </w:trPr>
        <w:tc>
          <w:tcPr>
            <w:tcW w:w="7230" w:type="dxa"/>
            <w:tcBorders>
              <w:top w:val="nil"/>
              <w:left w:val="nil"/>
              <w:bottom w:val="nil"/>
              <w:right w:val="nil"/>
            </w:tcBorders>
            <w:shd w:val="clear" w:color="auto" w:fill="auto"/>
            <w:noWrap/>
            <w:vAlign w:val="bottom"/>
            <w:hideMark/>
          </w:tcPr>
          <w:p w14:paraId="3D3CF997" w14:textId="77777777" w:rsidR="00AD5DAC" w:rsidRPr="00AD5DAC" w:rsidRDefault="00AD5DAC" w:rsidP="00AD5DAC">
            <w:pPr>
              <w:pStyle w:val="Listparagraf"/>
              <w:numPr>
                <w:ilvl w:val="0"/>
                <w:numId w:val="1"/>
              </w:numPr>
              <w:rPr>
                <w:rStyle w:val="salnbdy"/>
                <w:rFonts w:ascii="Verdana" w:hAnsi="Verdana"/>
                <w:sz w:val="23"/>
                <w:szCs w:val="23"/>
                <w:bdr w:val="none" w:sz="0" w:space="0" w:color="auto" w:frame="1"/>
                <w:shd w:val="clear" w:color="auto" w:fill="FFFFFF"/>
              </w:rPr>
            </w:pPr>
            <w:r w:rsidRPr="00AD5DAC">
              <w:rPr>
                <w:rStyle w:val="salnbdy"/>
                <w:rFonts w:ascii="Verdana" w:hAnsi="Verdana"/>
                <w:sz w:val="23"/>
                <w:szCs w:val="23"/>
                <w:bdr w:val="none" w:sz="0" w:space="0" w:color="auto" w:frame="1"/>
                <w:shd w:val="clear" w:color="auto" w:fill="FFFFFF"/>
              </w:rPr>
              <w:t>Clubul Sportiv Scolar Baia Sprie</w:t>
            </w:r>
          </w:p>
        </w:tc>
      </w:tr>
      <w:tr w:rsidR="00AD5DAC" w:rsidRPr="00AD5DAC" w14:paraId="1FD9CEDB" w14:textId="77777777" w:rsidTr="00AD5DAC">
        <w:trPr>
          <w:trHeight w:val="300"/>
        </w:trPr>
        <w:tc>
          <w:tcPr>
            <w:tcW w:w="7230" w:type="dxa"/>
            <w:tcBorders>
              <w:top w:val="nil"/>
              <w:left w:val="nil"/>
              <w:bottom w:val="nil"/>
              <w:right w:val="nil"/>
            </w:tcBorders>
            <w:shd w:val="clear" w:color="auto" w:fill="auto"/>
            <w:noWrap/>
            <w:vAlign w:val="bottom"/>
            <w:hideMark/>
          </w:tcPr>
          <w:p w14:paraId="1B8D8952" w14:textId="77777777" w:rsidR="00AD5DAC" w:rsidRPr="00AD5DAC" w:rsidRDefault="00AD5DAC" w:rsidP="00AD5DAC">
            <w:pPr>
              <w:pStyle w:val="Listparagraf"/>
              <w:numPr>
                <w:ilvl w:val="0"/>
                <w:numId w:val="1"/>
              </w:numPr>
              <w:rPr>
                <w:rStyle w:val="salnbdy"/>
                <w:rFonts w:ascii="Verdana" w:hAnsi="Verdana"/>
                <w:sz w:val="23"/>
                <w:szCs w:val="23"/>
                <w:bdr w:val="none" w:sz="0" w:space="0" w:color="auto" w:frame="1"/>
                <w:shd w:val="clear" w:color="auto" w:fill="FFFFFF"/>
              </w:rPr>
            </w:pPr>
            <w:r w:rsidRPr="00AD5DAC">
              <w:rPr>
                <w:rStyle w:val="salnbdy"/>
                <w:rFonts w:ascii="Verdana" w:hAnsi="Verdana"/>
                <w:sz w:val="23"/>
                <w:szCs w:val="23"/>
                <w:bdr w:val="none" w:sz="0" w:space="0" w:color="auto" w:frame="1"/>
                <w:shd w:val="clear" w:color="auto" w:fill="FFFFFF"/>
              </w:rPr>
              <w:t xml:space="preserve">Centrul </w:t>
            </w:r>
            <w:proofErr w:type="spellStart"/>
            <w:r w:rsidRPr="00AD5DAC">
              <w:rPr>
                <w:rStyle w:val="salnbdy"/>
                <w:rFonts w:ascii="Verdana" w:hAnsi="Verdana"/>
                <w:sz w:val="23"/>
                <w:szCs w:val="23"/>
                <w:bdr w:val="none" w:sz="0" w:space="0" w:color="auto" w:frame="1"/>
                <w:shd w:val="clear" w:color="auto" w:fill="FFFFFF"/>
              </w:rPr>
              <w:t>Judetean</w:t>
            </w:r>
            <w:proofErr w:type="spellEnd"/>
            <w:r w:rsidRPr="00AD5DAC">
              <w:rPr>
                <w:rStyle w:val="salnbdy"/>
                <w:rFonts w:ascii="Verdana" w:hAnsi="Verdana"/>
                <w:sz w:val="23"/>
                <w:szCs w:val="23"/>
                <w:bdr w:val="none" w:sz="0" w:space="0" w:color="auto" w:frame="1"/>
                <w:shd w:val="clear" w:color="auto" w:fill="FFFFFF"/>
              </w:rPr>
              <w:t xml:space="preserve"> de Excelenta </w:t>
            </w:r>
            <w:proofErr w:type="spellStart"/>
            <w:r w:rsidRPr="00AD5DAC">
              <w:rPr>
                <w:rStyle w:val="salnbdy"/>
                <w:rFonts w:ascii="Verdana" w:hAnsi="Verdana"/>
                <w:sz w:val="23"/>
                <w:szCs w:val="23"/>
                <w:bdr w:val="none" w:sz="0" w:space="0" w:color="auto" w:frame="1"/>
                <w:shd w:val="clear" w:color="auto" w:fill="FFFFFF"/>
              </w:rPr>
              <w:t>Maramures</w:t>
            </w:r>
            <w:proofErr w:type="spellEnd"/>
          </w:p>
        </w:tc>
      </w:tr>
      <w:tr w:rsidR="00AD5DAC" w:rsidRPr="00AD5DAC" w14:paraId="3F2BC5E5" w14:textId="77777777" w:rsidTr="00AD5DAC">
        <w:trPr>
          <w:trHeight w:val="300"/>
        </w:trPr>
        <w:tc>
          <w:tcPr>
            <w:tcW w:w="7230" w:type="dxa"/>
            <w:tcBorders>
              <w:top w:val="nil"/>
              <w:left w:val="nil"/>
              <w:bottom w:val="nil"/>
              <w:right w:val="nil"/>
            </w:tcBorders>
            <w:shd w:val="clear" w:color="auto" w:fill="auto"/>
            <w:noWrap/>
            <w:vAlign w:val="bottom"/>
            <w:hideMark/>
          </w:tcPr>
          <w:p w14:paraId="01E166A7" w14:textId="77777777" w:rsidR="00AD5DAC" w:rsidRPr="00AD5DAC" w:rsidRDefault="00AD5DAC" w:rsidP="00AD5DAC">
            <w:pPr>
              <w:pStyle w:val="Listparagraf"/>
              <w:numPr>
                <w:ilvl w:val="0"/>
                <w:numId w:val="1"/>
              </w:numPr>
              <w:rPr>
                <w:rStyle w:val="salnbdy"/>
                <w:rFonts w:ascii="Verdana" w:hAnsi="Verdana"/>
                <w:sz w:val="23"/>
                <w:szCs w:val="23"/>
                <w:bdr w:val="none" w:sz="0" w:space="0" w:color="auto" w:frame="1"/>
                <w:shd w:val="clear" w:color="auto" w:fill="FFFFFF"/>
              </w:rPr>
            </w:pPr>
            <w:r w:rsidRPr="00AD5DAC">
              <w:rPr>
                <w:rStyle w:val="salnbdy"/>
                <w:rFonts w:ascii="Verdana" w:hAnsi="Verdana"/>
                <w:sz w:val="23"/>
                <w:szCs w:val="23"/>
                <w:bdr w:val="none" w:sz="0" w:space="0" w:color="auto" w:frame="1"/>
                <w:shd w:val="clear" w:color="auto" w:fill="FFFFFF"/>
              </w:rPr>
              <w:t>Casa Corpului Didactic Maramureș</w:t>
            </w:r>
          </w:p>
        </w:tc>
      </w:tr>
      <w:tr w:rsidR="00AD5DAC" w:rsidRPr="00AD5DAC" w14:paraId="6252B135" w14:textId="77777777" w:rsidTr="00AD5DAC">
        <w:trPr>
          <w:trHeight w:val="300"/>
        </w:trPr>
        <w:tc>
          <w:tcPr>
            <w:tcW w:w="7230" w:type="dxa"/>
            <w:tcBorders>
              <w:top w:val="nil"/>
              <w:left w:val="nil"/>
              <w:bottom w:val="nil"/>
              <w:right w:val="nil"/>
            </w:tcBorders>
            <w:shd w:val="clear" w:color="auto" w:fill="auto"/>
            <w:noWrap/>
            <w:vAlign w:val="bottom"/>
            <w:hideMark/>
          </w:tcPr>
          <w:p w14:paraId="0D53C900" w14:textId="77777777" w:rsidR="00AD5DAC" w:rsidRPr="00AD5DAC" w:rsidRDefault="00AD5DAC" w:rsidP="00AD5DAC">
            <w:pPr>
              <w:pStyle w:val="Listparagraf"/>
              <w:numPr>
                <w:ilvl w:val="0"/>
                <w:numId w:val="1"/>
              </w:numPr>
              <w:rPr>
                <w:rStyle w:val="salnbdy"/>
                <w:rFonts w:ascii="Verdana" w:hAnsi="Verdana"/>
                <w:sz w:val="23"/>
                <w:szCs w:val="23"/>
                <w:bdr w:val="none" w:sz="0" w:space="0" w:color="auto" w:frame="1"/>
                <w:shd w:val="clear" w:color="auto" w:fill="FFFFFF"/>
              </w:rPr>
            </w:pPr>
            <w:r w:rsidRPr="00AD5DAC">
              <w:rPr>
                <w:rStyle w:val="salnbdy"/>
                <w:rFonts w:ascii="Verdana" w:hAnsi="Verdana"/>
                <w:sz w:val="23"/>
                <w:szCs w:val="23"/>
                <w:bdr w:val="none" w:sz="0" w:space="0" w:color="auto" w:frame="1"/>
                <w:shd w:val="clear" w:color="auto" w:fill="FFFFFF"/>
              </w:rPr>
              <w:t xml:space="preserve">Centrul </w:t>
            </w:r>
            <w:proofErr w:type="spellStart"/>
            <w:r w:rsidRPr="00AD5DAC">
              <w:rPr>
                <w:rStyle w:val="salnbdy"/>
                <w:rFonts w:ascii="Verdana" w:hAnsi="Verdana"/>
                <w:sz w:val="23"/>
                <w:szCs w:val="23"/>
                <w:bdr w:val="none" w:sz="0" w:space="0" w:color="auto" w:frame="1"/>
                <w:shd w:val="clear" w:color="auto" w:fill="FFFFFF"/>
              </w:rPr>
              <w:t>Judetean</w:t>
            </w:r>
            <w:proofErr w:type="spellEnd"/>
            <w:r w:rsidRPr="00AD5DAC">
              <w:rPr>
                <w:rStyle w:val="salnbdy"/>
                <w:rFonts w:ascii="Verdana" w:hAnsi="Verdana"/>
                <w:sz w:val="23"/>
                <w:szCs w:val="23"/>
                <w:bdr w:val="none" w:sz="0" w:space="0" w:color="auto" w:frame="1"/>
                <w:shd w:val="clear" w:color="auto" w:fill="FFFFFF"/>
              </w:rPr>
              <w:t xml:space="preserve"> de Resurse si Asistenta </w:t>
            </w:r>
            <w:proofErr w:type="spellStart"/>
            <w:r w:rsidRPr="00AD5DAC">
              <w:rPr>
                <w:rStyle w:val="salnbdy"/>
                <w:rFonts w:ascii="Verdana" w:hAnsi="Verdana"/>
                <w:sz w:val="23"/>
                <w:szCs w:val="23"/>
                <w:bdr w:val="none" w:sz="0" w:space="0" w:color="auto" w:frame="1"/>
                <w:shd w:val="clear" w:color="auto" w:fill="FFFFFF"/>
              </w:rPr>
              <w:t>Educationala</w:t>
            </w:r>
            <w:proofErr w:type="spellEnd"/>
            <w:r w:rsidRPr="00AD5DAC">
              <w:rPr>
                <w:rStyle w:val="salnbdy"/>
                <w:rFonts w:ascii="Verdana" w:hAnsi="Verdana"/>
                <w:sz w:val="23"/>
                <w:szCs w:val="23"/>
                <w:bdr w:val="none" w:sz="0" w:space="0" w:color="auto" w:frame="1"/>
                <w:shd w:val="clear" w:color="auto" w:fill="FFFFFF"/>
              </w:rPr>
              <w:t xml:space="preserve"> </w:t>
            </w:r>
            <w:proofErr w:type="spellStart"/>
            <w:r w:rsidRPr="00AD5DAC">
              <w:rPr>
                <w:rStyle w:val="salnbdy"/>
                <w:rFonts w:ascii="Verdana" w:hAnsi="Verdana"/>
                <w:sz w:val="23"/>
                <w:szCs w:val="23"/>
                <w:bdr w:val="none" w:sz="0" w:space="0" w:color="auto" w:frame="1"/>
                <w:shd w:val="clear" w:color="auto" w:fill="FFFFFF"/>
              </w:rPr>
              <w:t>Maramures</w:t>
            </w:r>
            <w:proofErr w:type="spellEnd"/>
          </w:p>
        </w:tc>
      </w:tr>
    </w:tbl>
    <w:p w14:paraId="536BFCC8" w14:textId="77777777" w:rsidR="00AD5DAC" w:rsidRDefault="00AD5DAC" w:rsidP="00AD5DAC">
      <w:pPr>
        <w:rPr>
          <w:rStyle w:val="salnbdy"/>
          <w:rFonts w:ascii="Verdana" w:hAnsi="Verdana"/>
          <w:i/>
          <w:iCs/>
          <w:color w:val="000000"/>
          <w:sz w:val="23"/>
          <w:szCs w:val="23"/>
          <w:bdr w:val="none" w:sz="0" w:space="0" w:color="auto" w:frame="1"/>
          <w:shd w:val="clear" w:color="auto" w:fill="FFFFFF"/>
        </w:rPr>
      </w:pPr>
    </w:p>
    <w:p w14:paraId="56ECF077" w14:textId="77777777" w:rsidR="00AD5DAC" w:rsidRDefault="00AD5DAC" w:rsidP="00AD5DAC">
      <w:pPr>
        <w:rPr>
          <w:rFonts w:ascii="Times New Roman" w:hAnsi="Times New Roman" w:cs="Times New Roman"/>
          <w:b/>
          <w:bCs/>
          <w:sz w:val="22"/>
          <w:szCs w:val="22"/>
        </w:rPr>
      </w:pPr>
    </w:p>
    <w:p w14:paraId="5AD1D70D" w14:textId="77777777" w:rsidR="00AD5DAC" w:rsidRDefault="00AD5DAC" w:rsidP="00AD5DAC">
      <w:pPr>
        <w:ind w:firstLine="720"/>
        <w:rPr>
          <w:rStyle w:val="salnbdy"/>
          <w:rFonts w:ascii="Verdana" w:hAnsi="Verdana"/>
          <w:i/>
          <w:iCs/>
          <w:color w:val="000000"/>
          <w:sz w:val="23"/>
          <w:szCs w:val="23"/>
          <w:bdr w:val="none" w:sz="0" w:space="0" w:color="auto" w:frame="1"/>
          <w:shd w:val="clear" w:color="auto" w:fill="FFFFFF"/>
        </w:rPr>
      </w:pPr>
      <w:r w:rsidRPr="00A44660">
        <w:rPr>
          <w:rStyle w:val="salnbdy"/>
          <w:rFonts w:ascii="Verdana" w:hAnsi="Verdana"/>
          <w:color w:val="000000"/>
          <w:sz w:val="23"/>
          <w:szCs w:val="23"/>
          <w:bdr w:val="none" w:sz="0" w:space="0" w:color="auto" w:frame="1"/>
          <w:shd w:val="clear" w:color="auto" w:fill="FFFFFF"/>
        </w:rPr>
        <w:t xml:space="preserve">În conformitate cu </w:t>
      </w:r>
      <w:r>
        <w:rPr>
          <w:rStyle w:val="salnbdy"/>
          <w:rFonts w:ascii="Verdana" w:hAnsi="Verdana"/>
          <w:color w:val="000000"/>
          <w:sz w:val="23"/>
          <w:szCs w:val="23"/>
          <w:bdr w:val="none" w:sz="0" w:space="0" w:color="auto" w:frame="1"/>
          <w:shd w:val="clear" w:color="auto" w:fill="FFFFFF"/>
        </w:rPr>
        <w:t>dispozițiile o</w:t>
      </w:r>
      <w:r w:rsidRPr="00A44660">
        <w:rPr>
          <w:rStyle w:val="salnbdy"/>
          <w:rFonts w:ascii="Verdana" w:hAnsi="Verdana"/>
          <w:color w:val="000000"/>
          <w:sz w:val="23"/>
          <w:szCs w:val="23"/>
          <w:bdr w:val="none" w:sz="0" w:space="0" w:color="auto" w:frame="1"/>
          <w:shd w:val="clear" w:color="auto" w:fill="FFFFFF"/>
        </w:rPr>
        <w:t xml:space="preserve">rdinului SGG nr. 600 din 20.04.2018, </w:t>
      </w:r>
      <w:r w:rsidRPr="00A44660">
        <w:rPr>
          <w:rStyle w:val="salnbdy"/>
          <w:rFonts w:ascii="Verdana" w:hAnsi="Verdana"/>
          <w:i/>
          <w:iCs/>
          <w:color w:val="000000"/>
          <w:sz w:val="23"/>
          <w:szCs w:val="23"/>
          <w:bdr w:val="none" w:sz="0" w:space="0" w:color="auto" w:frame="1"/>
          <w:shd w:val="clear" w:color="auto" w:fill="FFFFFF"/>
        </w:rPr>
        <w:t>„Art. 9</w:t>
      </w:r>
      <w:r>
        <w:rPr>
          <w:rStyle w:val="salnbdy"/>
          <w:rFonts w:ascii="Verdana" w:hAnsi="Verdana"/>
          <w:i/>
          <w:iCs/>
          <w:color w:val="000000"/>
          <w:sz w:val="23"/>
          <w:szCs w:val="23"/>
          <w:bdr w:val="none" w:sz="0" w:space="0" w:color="auto" w:frame="1"/>
          <w:shd w:val="clear" w:color="auto" w:fill="FFFFFF"/>
        </w:rPr>
        <w:t>.</w:t>
      </w:r>
      <w:r w:rsidRPr="00A44660">
        <w:rPr>
          <w:rStyle w:val="salnbdy"/>
          <w:rFonts w:ascii="Verdana" w:hAnsi="Verdana"/>
          <w:i/>
          <w:iCs/>
          <w:color w:val="000000"/>
          <w:sz w:val="23"/>
          <w:szCs w:val="23"/>
          <w:bdr w:val="none" w:sz="0" w:space="0" w:color="auto" w:frame="1"/>
          <w:shd w:val="clear" w:color="auto" w:fill="FFFFFF"/>
        </w:rPr>
        <w:t>-(1)-Conducătorul fiecărei entități publice elaborează anual Raportul asupra sistemului de control intern managerial la data de 31 decembrie în baza </w:t>
      </w:r>
      <w:hyperlink r:id="rId5" w:history="1">
        <w:r w:rsidRPr="00A44660">
          <w:rPr>
            <w:rStyle w:val="salnbdy"/>
            <w:rFonts w:ascii="Verdana" w:hAnsi="Verdana"/>
            <w:i/>
            <w:iCs/>
            <w:color w:val="000000"/>
            <w:sz w:val="23"/>
            <w:szCs w:val="23"/>
            <w:bdr w:val="none" w:sz="0" w:space="0" w:color="auto" w:frame="1"/>
            <w:shd w:val="clear" w:color="auto" w:fill="FFFFFF"/>
          </w:rPr>
          <w:t>art. 4 alin. (3) din Ordonanța Guvernului nr. 119/1999</w:t>
        </w:r>
      </w:hyperlink>
      <w:r w:rsidRPr="00A44660">
        <w:rPr>
          <w:rStyle w:val="salnbdy"/>
          <w:rFonts w:ascii="Verdana" w:hAnsi="Verdana"/>
          <w:i/>
          <w:iCs/>
          <w:color w:val="000000"/>
          <w:sz w:val="23"/>
          <w:szCs w:val="23"/>
          <w:bdr w:val="none" w:sz="0" w:space="0" w:color="auto" w:frame="1"/>
          <w:shd w:val="clear" w:color="auto" w:fill="FFFFFF"/>
        </w:rPr>
        <w:t> privind controlul intern managerial și controlul financiar preventiv, republicată, cu modificările și completările ulterioare, conform modelului prevăzut în Instrucțiunile privind întocmirea, aprobarea și prezentarea raportului asupra sistemului de control intern managerial, care se prezintă  structurii ierarhic superioare, cu încadrarea în termenul prevăzut la alin. (2)”.</w:t>
      </w:r>
    </w:p>
    <w:p w14:paraId="3F33F50D" w14:textId="77777777" w:rsidR="00AD5DAC" w:rsidRPr="00D759FD" w:rsidRDefault="00AD5DAC" w:rsidP="00AD5DAC">
      <w:pPr>
        <w:ind w:firstLine="720"/>
        <w:rPr>
          <w:rStyle w:val="salnbdy"/>
          <w:rFonts w:ascii="Verdana" w:hAnsi="Verdana"/>
          <w:color w:val="000000"/>
          <w:sz w:val="23"/>
          <w:szCs w:val="23"/>
          <w:bdr w:val="none" w:sz="0" w:space="0" w:color="auto" w:frame="1"/>
          <w:shd w:val="clear" w:color="auto" w:fill="FFFFFF"/>
        </w:rPr>
      </w:pPr>
      <w:r w:rsidRPr="00D759FD">
        <w:rPr>
          <w:rStyle w:val="salnbdy"/>
          <w:rFonts w:ascii="Verdana" w:hAnsi="Verdana"/>
          <w:color w:val="000000"/>
          <w:sz w:val="23"/>
          <w:szCs w:val="23"/>
          <w:bdr w:val="none" w:sz="0" w:space="0" w:color="auto" w:frame="1"/>
          <w:shd w:val="clear" w:color="auto" w:fill="FFFFFF"/>
        </w:rPr>
        <w:t>În acest sens, vă rugăm să ne transmiteți anexele la Codul controlului intern managerial al entităților publice, aprobat prin ord. nr. 600 din 20 aprilie 2018. Anexele vor fi transmise în format editabil și scanate, asumate prin semnătură și ștampilă</w:t>
      </w:r>
      <w:r>
        <w:rPr>
          <w:rStyle w:val="salnbdy"/>
          <w:rFonts w:ascii="Verdana" w:hAnsi="Verdana"/>
          <w:color w:val="000000"/>
          <w:sz w:val="23"/>
          <w:szCs w:val="23"/>
          <w:bdr w:val="none" w:sz="0" w:space="0" w:color="auto" w:frame="1"/>
          <w:shd w:val="clear" w:color="auto" w:fill="FFFFFF"/>
        </w:rPr>
        <w:t xml:space="preserve"> prin intermediul formularului </w:t>
      </w:r>
      <w:r w:rsidRPr="00DB45DF">
        <w:rPr>
          <w:rStyle w:val="salnbdy"/>
          <w:rFonts w:ascii="Verdana" w:hAnsi="Verdana"/>
          <w:color w:val="000000"/>
          <w:sz w:val="23"/>
          <w:szCs w:val="23"/>
          <w:bdr w:val="none" w:sz="0" w:space="0" w:color="auto" w:frame="1"/>
          <w:shd w:val="clear" w:color="auto" w:fill="FFFFFF"/>
        </w:rPr>
        <w:t>https://forms.gle/svf537rU21hMs2Gt8</w:t>
      </w:r>
    </w:p>
    <w:p w14:paraId="474CB9B5" w14:textId="77777777" w:rsidR="00AD5DAC" w:rsidRDefault="00AD5DAC" w:rsidP="00AD5DAC">
      <w:pPr>
        <w:ind w:firstLine="720"/>
        <w:rPr>
          <w:rFonts w:ascii="Times New Roman" w:hAnsi="Times New Roman" w:cs="Times New Roman"/>
          <w:b/>
          <w:bCs/>
          <w:sz w:val="22"/>
          <w:szCs w:val="22"/>
        </w:rPr>
      </w:pPr>
    </w:p>
    <w:p w14:paraId="657D2141" w14:textId="77777777" w:rsidR="00AD5DAC" w:rsidRPr="00BB3BFA" w:rsidRDefault="00AD5DAC" w:rsidP="00AD5DAC">
      <w:pPr>
        <w:ind w:firstLine="720"/>
        <w:rPr>
          <w:rStyle w:val="salnbdy"/>
          <w:rFonts w:ascii="Verdana" w:hAnsi="Verdana"/>
          <w:color w:val="000000"/>
          <w:sz w:val="23"/>
          <w:szCs w:val="23"/>
          <w:bdr w:val="none" w:sz="0" w:space="0" w:color="auto" w:frame="1"/>
          <w:shd w:val="clear" w:color="auto" w:fill="FFFFFF"/>
        </w:rPr>
      </w:pPr>
      <w:r w:rsidRPr="00BB3BFA">
        <w:rPr>
          <w:rStyle w:val="salnbdy"/>
          <w:rFonts w:ascii="Verdana" w:hAnsi="Verdana"/>
          <w:color w:val="000000"/>
          <w:sz w:val="23"/>
          <w:szCs w:val="23"/>
          <w:bdr w:val="none" w:sz="0" w:space="0" w:color="auto" w:frame="1"/>
          <w:shd w:val="clear" w:color="auto" w:fill="FFFFFF"/>
        </w:rPr>
        <w:t>Anexe:</w:t>
      </w:r>
    </w:p>
    <w:p w14:paraId="0C71A5EA" w14:textId="77777777" w:rsidR="00AD5DAC" w:rsidRPr="00BB3BFA" w:rsidRDefault="00AD5DAC" w:rsidP="00AD5DAC">
      <w:pPr>
        <w:ind w:firstLine="720"/>
        <w:rPr>
          <w:rStyle w:val="salnbdy"/>
          <w:rFonts w:ascii="Verdana" w:hAnsi="Verdana"/>
          <w:color w:val="000000"/>
          <w:sz w:val="23"/>
          <w:szCs w:val="23"/>
          <w:bdr w:val="none" w:sz="0" w:space="0" w:color="auto" w:frame="1"/>
          <w:shd w:val="clear" w:color="auto" w:fill="FFFFFF"/>
        </w:rPr>
      </w:pPr>
      <w:r w:rsidRPr="00BB3BFA">
        <w:rPr>
          <w:rStyle w:val="salnbdy"/>
          <w:rFonts w:ascii="Verdana" w:hAnsi="Verdana"/>
          <w:color w:val="000000"/>
          <w:sz w:val="23"/>
          <w:szCs w:val="23"/>
          <w:bdr w:val="none" w:sz="0" w:space="0" w:color="auto" w:frame="1"/>
          <w:shd w:val="clear" w:color="auto" w:fill="FFFFFF"/>
        </w:rPr>
        <w:t>ANEXA 3- SITUAŢIE CENTRALIZATOARE privind stadiul implementării şi dezvoltării sistemului de control intern managerial.</w:t>
      </w:r>
    </w:p>
    <w:p w14:paraId="7EF6B9AD" w14:textId="77777777" w:rsidR="00AD5DAC" w:rsidRPr="00BB3BFA" w:rsidRDefault="00AD5DAC" w:rsidP="00AD5DAC">
      <w:pPr>
        <w:ind w:firstLine="720"/>
        <w:rPr>
          <w:rStyle w:val="salnbdy"/>
          <w:rFonts w:ascii="Verdana" w:hAnsi="Verdana"/>
          <w:color w:val="000000"/>
          <w:sz w:val="23"/>
          <w:szCs w:val="23"/>
          <w:bdr w:val="none" w:sz="0" w:space="0" w:color="auto" w:frame="1"/>
          <w:shd w:val="clear" w:color="auto" w:fill="FFFFFF"/>
        </w:rPr>
      </w:pPr>
      <w:r w:rsidRPr="00BB3BFA">
        <w:rPr>
          <w:rStyle w:val="salnbdy"/>
          <w:rFonts w:ascii="Verdana" w:hAnsi="Verdana"/>
          <w:color w:val="000000"/>
          <w:sz w:val="23"/>
          <w:szCs w:val="23"/>
          <w:bdr w:val="none" w:sz="0" w:space="0" w:color="auto" w:frame="1"/>
          <w:shd w:val="clear" w:color="auto" w:fill="FFFFFF"/>
        </w:rPr>
        <w:t>ANEXA 4.1- CHESTIONARUL DE AUTOEVALUARE a stadiului de implementare a standardelor de control intern managerial.</w:t>
      </w:r>
    </w:p>
    <w:p w14:paraId="5A3E207A" w14:textId="77777777" w:rsidR="00AD5DAC" w:rsidRPr="00BB3BFA" w:rsidRDefault="00AD5DAC" w:rsidP="00AD5DAC">
      <w:pPr>
        <w:ind w:firstLine="720"/>
        <w:rPr>
          <w:rStyle w:val="salnbdy"/>
          <w:rFonts w:ascii="Verdana" w:hAnsi="Verdana"/>
          <w:color w:val="000000"/>
          <w:sz w:val="23"/>
          <w:szCs w:val="23"/>
          <w:bdr w:val="none" w:sz="0" w:space="0" w:color="auto" w:frame="1"/>
          <w:shd w:val="clear" w:color="auto" w:fill="FFFFFF"/>
        </w:rPr>
      </w:pPr>
      <w:r w:rsidRPr="00BB3BFA">
        <w:rPr>
          <w:rStyle w:val="salnbdy"/>
          <w:rFonts w:ascii="Verdana" w:hAnsi="Verdana"/>
          <w:color w:val="000000"/>
          <w:sz w:val="23"/>
          <w:szCs w:val="23"/>
          <w:bdr w:val="none" w:sz="0" w:space="0" w:color="auto" w:frame="1"/>
          <w:shd w:val="clear" w:color="auto" w:fill="FFFFFF"/>
        </w:rPr>
        <w:t>ANEXA 4.2-SITUAŢIA SINTETICĂ a rezultatelor autoevaluării.</w:t>
      </w:r>
    </w:p>
    <w:p w14:paraId="1C70C143" w14:textId="77777777" w:rsidR="00AD5DAC" w:rsidRPr="00BB3BFA" w:rsidRDefault="00AD5DAC" w:rsidP="00AD5DAC">
      <w:pPr>
        <w:ind w:firstLine="720"/>
        <w:rPr>
          <w:rStyle w:val="salnbdy"/>
          <w:rFonts w:ascii="Verdana" w:hAnsi="Verdana"/>
          <w:color w:val="000000"/>
          <w:sz w:val="23"/>
          <w:szCs w:val="23"/>
          <w:bdr w:val="none" w:sz="0" w:space="0" w:color="auto" w:frame="1"/>
          <w:shd w:val="clear" w:color="auto" w:fill="FFFFFF"/>
        </w:rPr>
      </w:pPr>
      <w:r w:rsidRPr="00BB3BFA">
        <w:rPr>
          <w:rStyle w:val="salnbdy"/>
          <w:rFonts w:ascii="Verdana" w:hAnsi="Verdana"/>
          <w:color w:val="000000"/>
          <w:sz w:val="23"/>
          <w:szCs w:val="23"/>
          <w:bdr w:val="none" w:sz="0" w:space="0" w:color="auto" w:frame="1"/>
          <w:shd w:val="clear" w:color="auto" w:fill="FFFFFF"/>
        </w:rPr>
        <w:t>ANEXA 4.3- RAPORT asupra sistemului de control intern managerial la data de 31 decembrie 2023.</w:t>
      </w:r>
    </w:p>
    <w:p w14:paraId="2CB2F21F" w14:textId="77777777" w:rsidR="00AD5DAC" w:rsidRDefault="00AD5DAC" w:rsidP="00AD5DAC">
      <w:pPr>
        <w:ind w:firstLine="720"/>
        <w:rPr>
          <w:rFonts w:ascii="Times New Roman" w:hAnsi="Times New Roman" w:cs="Times New Roman"/>
          <w:b/>
          <w:bCs/>
          <w:sz w:val="22"/>
          <w:szCs w:val="22"/>
        </w:rPr>
      </w:pPr>
    </w:p>
    <w:p w14:paraId="67FF4D60" w14:textId="77777777" w:rsidR="00AD5DAC" w:rsidRDefault="00AD5DAC" w:rsidP="00AD5DAC">
      <w:pPr>
        <w:ind w:firstLine="720"/>
        <w:rPr>
          <w:rFonts w:ascii="Times New Roman" w:hAnsi="Times New Roman" w:cs="Times New Roman"/>
          <w:b/>
          <w:bCs/>
          <w:sz w:val="22"/>
          <w:szCs w:val="22"/>
        </w:rPr>
      </w:pPr>
    </w:p>
    <w:p w14:paraId="48484BF8" w14:textId="77777777" w:rsidR="00AD5DAC" w:rsidRPr="00AD5DAC" w:rsidRDefault="00AD5DAC" w:rsidP="00AD5DAC">
      <w:pPr>
        <w:ind w:firstLine="720"/>
        <w:rPr>
          <w:rStyle w:val="salnbdy"/>
          <w:rFonts w:ascii="Verdana" w:hAnsi="Verdana"/>
          <w:color w:val="000000"/>
          <w:sz w:val="23"/>
          <w:szCs w:val="23"/>
          <w:bdr w:val="none" w:sz="0" w:space="0" w:color="auto" w:frame="1"/>
          <w:shd w:val="clear" w:color="auto" w:fill="FFFFFF"/>
        </w:rPr>
      </w:pPr>
      <w:r w:rsidRPr="00AD5DAC">
        <w:rPr>
          <w:rStyle w:val="salnbdy"/>
          <w:rFonts w:ascii="Verdana" w:hAnsi="Verdana"/>
          <w:color w:val="000000"/>
          <w:sz w:val="23"/>
          <w:szCs w:val="23"/>
          <w:bdr w:val="none" w:sz="0" w:space="0" w:color="auto" w:frame="1"/>
          <w:shd w:val="clear" w:color="auto" w:fill="FFFFFF"/>
        </w:rPr>
        <w:t>Termen: 19.01.2024</w:t>
      </w:r>
    </w:p>
    <w:p w14:paraId="189738BF" w14:textId="77777777" w:rsidR="00AD5DAC" w:rsidRDefault="00AD5DAC" w:rsidP="00AD5DAC">
      <w:pPr>
        <w:ind w:firstLine="720"/>
        <w:rPr>
          <w:rFonts w:ascii="Times New Roman" w:hAnsi="Times New Roman" w:cs="Times New Roman"/>
          <w:b/>
          <w:bCs/>
          <w:sz w:val="22"/>
          <w:szCs w:val="22"/>
        </w:rPr>
      </w:pPr>
    </w:p>
    <w:p w14:paraId="04E276D5" w14:textId="77777777" w:rsidR="00BD4374" w:rsidRDefault="00BD4374"/>
    <w:sectPr w:rsidR="00BD4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B1F76"/>
    <w:multiLevelType w:val="hybridMultilevel"/>
    <w:tmpl w:val="6A04B7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4097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AC"/>
    <w:rsid w:val="003A4DF8"/>
    <w:rsid w:val="004B3860"/>
    <w:rsid w:val="00A74682"/>
    <w:rsid w:val="00AD0616"/>
    <w:rsid w:val="00AD5DAC"/>
    <w:rsid w:val="00BD43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BF1E"/>
  <w15:chartTrackingRefBased/>
  <w15:docId w15:val="{3F479170-9A56-4D45-AE59-44A8B8D6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AC"/>
    <w:pPr>
      <w:spacing w:after="0" w:line="240" w:lineRule="auto"/>
    </w:pPr>
    <w:rPr>
      <w:rFonts w:ascii="Book Antiqua" w:eastAsia="Times New Roman" w:hAnsi="Book Antiqua" w:cs="Book Antiqua"/>
      <w:kern w:val="0"/>
      <w:sz w:val="20"/>
      <w:szCs w:val="20"/>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alnbdy">
    <w:name w:val="s_aln_bdy"/>
    <w:basedOn w:val="Fontdeparagrafimplicit"/>
    <w:rsid w:val="00AD5DAC"/>
  </w:style>
  <w:style w:type="paragraph" w:styleId="Listparagraf">
    <w:name w:val="List Paragraph"/>
    <w:basedOn w:val="Normal"/>
    <w:uiPriority w:val="34"/>
    <w:qFormat/>
    <w:rsid w:val="00AD5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2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islatie.just.ro/Public/DetaliiDocumentAfis/166435"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1551</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 Vasile Gratian</dc:creator>
  <cp:keywords/>
  <dc:description/>
  <cp:lastModifiedBy>Pop Vasile Gratian</cp:lastModifiedBy>
  <cp:revision>1</cp:revision>
  <dcterms:created xsi:type="dcterms:W3CDTF">2023-12-13T09:26:00Z</dcterms:created>
  <dcterms:modified xsi:type="dcterms:W3CDTF">2023-12-13T09:31:00Z</dcterms:modified>
</cp:coreProperties>
</file>