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ORDIN  Nr. 4147/2022 din 29 iunie 2022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pentru aprobarea Metodologiei-cadru privind organizarea şi funcţionarea "şcolilor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EMITENT:     MINISTERUL EDUCAŢIEI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PUBLICAT ÎN: MONITORUL OFICIAL  NR. 705 din 14 iulie 2022</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Având în vedere: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Ordonanţa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Legea nr. 230/2021, cu modificările şi completările ulterioare;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Ordonanţa de urgenţă a Guvernului nr. 134/2021 pentru aprobarea Acordului de împrumut (Mecanismul de redresare şi rezilienţă) dintre Comisia Europeană şi România, semnat la Bucureşti la 26 noiembrie 2021 şi la Bruxelles la 15 decembrie 2021, aprobată prin Legea nr. 114/2021;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Acordul de tip operaţional nr. 12.319/21/ADD, încheiat între România, prin Ministerul Investiţiilor şi Proiectelor Europene, şi Comisia Europeană;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Acordul de finanţare privind implementarea reformelor şi/sau investiţiilor finanţate prin Planul naţional de redresare şi rezilienţă nr. 31.394 din 18.03.2022, încheiat între Ministerul Investiţiilor şi Proiectelor Europene şi Ministerul Educaţiei;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Ordonanţa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aprobată cu modificări şi completări prin Legea nr. 178/2022;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 prevederile art. 105 din Legea educaţiei naţionale nr. 1/2011, cu modificările şi completările ulterioare,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în conformitate cu prevederile art. 13 alin. (3) din Hotărârea Guvernului nr. 369/2021 privind organizarea şi funcţionarea Ministerului Educaţiei, cu modificările şi completările ulterioare,</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ministrul educaţiei</w:t>
      </w:r>
      <w:r w:rsidRPr="0042305D">
        <w:rPr>
          <w:rFonts w:cs="Times New Roman"/>
          <w:sz w:val="22"/>
          <w:szCs w:val="28"/>
          <w:lang w:val="ro-RO"/>
        </w:rPr>
        <w:t xml:space="preserve"> emite prezentul ordin.</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 aprobă Metodologia-cadru privind organizarea şi funcţionarea "şcolilor verzi", prevăzută în anexa care face parte integrantă din prezentul ordin.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Direcţia generală pentru implementarea proiectului "România Educată", Direcţia generală învăţământ preuniversitar, Direcţia generală management resurse umane şi reţea şcolară şi persoanele desemnate duc la îndeplinire prevederile prezentului ordin.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3</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Prezentul ordin se publică în Monitorul Oficial al României, Partea 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Ministrul educaţiei,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Sorin-Mihai Cîmpeanu</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Bucureşti, 29 iunie 2022.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Nr. 4.147.</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ANEXĂ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b/>
          <w:bCs/>
          <w:sz w:val="22"/>
          <w:szCs w:val="28"/>
          <w:lang w:val="ro-RO"/>
        </w:rPr>
      </w:pPr>
      <w:r w:rsidRPr="0042305D">
        <w:rPr>
          <w:rFonts w:cs="Times New Roman"/>
          <w:sz w:val="22"/>
          <w:szCs w:val="28"/>
          <w:lang w:val="ro-RO"/>
        </w:rPr>
        <w:t xml:space="preserve">                                         </w:t>
      </w:r>
      <w:r w:rsidRPr="0042305D">
        <w:rPr>
          <w:rFonts w:cs="Times New Roman"/>
          <w:b/>
          <w:bCs/>
          <w:sz w:val="22"/>
          <w:szCs w:val="28"/>
          <w:lang w:val="ro-RO"/>
        </w:rPr>
        <w:t>METODOLOGIE-CADRU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b/>
          <w:bCs/>
          <w:sz w:val="22"/>
          <w:szCs w:val="28"/>
          <w:lang w:val="ro-RO"/>
        </w:rPr>
        <w:t xml:space="preserve">                         privind organizarea şi funcţionarea "şcolilor verzi"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CAPITOLUL 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Cadrul de referinţă</w:t>
      </w:r>
    </w:p>
    <w:p w:rsidR="0099550C" w:rsidRPr="0042305D" w:rsidRDefault="0099550C" w:rsidP="0099550C">
      <w:pPr>
        <w:autoSpaceDE w:val="0"/>
        <w:autoSpaceDN w:val="0"/>
        <w:adjustRightInd w:val="0"/>
        <w:spacing w:after="0" w:line="240" w:lineRule="auto"/>
        <w:rPr>
          <w:rFonts w:cs="Times New Roman"/>
          <w:sz w:val="22"/>
          <w:szCs w:val="28"/>
          <w:lang w:val="ro-RO"/>
        </w:rPr>
      </w:pPr>
      <w:bookmarkStart w:id="0" w:name="_GoBack"/>
      <w:bookmarkEnd w:id="0"/>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În contextul european şi naţional al tranziţiei către clădiri "verzi" şi inteligente, prezenta metodologie-cadru se raportează la Rezoluţia Consiliului Uniunii Europene privind un cadru strategic pentru cooperarea </w:t>
      </w:r>
      <w:r w:rsidRPr="0042305D">
        <w:rPr>
          <w:rFonts w:cs="Times New Roman"/>
          <w:sz w:val="22"/>
          <w:szCs w:val="28"/>
          <w:lang w:val="ro-RO"/>
        </w:rPr>
        <w:lastRenderedPageBreak/>
        <w:t>europeană în domeniul educaţiei şi formării, în perspectiva realizării şi dezvoltării în continuare a spaţiului european al educaţiei, la Legea educaţiei naţionale nr. 1/2011, cu modificările şi completările ulterioare, la documentele de politici publice asumate de Ministerul Educaţiei pentru îndeplinirea obiectivelor către realizarea spaţiului european al educaţiei până în 2025, la direcţiile de reformă a sistemului naţional de învăţământ prevăzute în proiectul "România Educată", precum şi la normativele de proiectare, realizare şi exploatare a construcţiilor pentru şcoli şi licee.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Susţinerea şi dezvoltarea unei reţele a "şcolilor verzi" este un obiectiv strategic din domeniul prioritar "Infrastructura sistemului de educaţie" din cadrul proiectului "România Educată", care reprezintă cadrul strategic de politici publice privind reforma educaţiei din România pentru perioada 2021 - 2030, acest obiectiv regăsindu-se şi în raportul Administraţiei Prezidenţiale: "Educaţia privind schimbările climatice şi mediul în şcoli sustenabile".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Printre măsurile finanţate din Programul naţional de redresare şi rezilienţă (PNRR) se numără construirea şi dezvoltarea unei reţele-pilot de "şcoli verzi", precum şi reabilitarea unor unităţi de învăţământ şi construcţia altora noi, în conformitate cu conceptul de "şcoală verde". Se va avea în vedere reevaluarea practicilor, la nivelul unităţilor de învăţământ, cu privire la: colectarea selectivă, managementul apei, energia regenerabilă etc., implementarea unor oferte curriculare pentru dezvoltare durabilă şi educaţie ecologică, formarea de competenţe "verzi" pentru elevi şi întreg personalul din "şcolile verzi", implicarea comunităţii în activităţi de protejare a mediului înconjurător şi realizarea de parteneriate cu autorităţile locale şi cu alte instituţii interesate.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Obiectivele de dezvoltare durabilă (ODD) ale Organizaţiei Naţiunilor Unite (ONU) impun ţărilor să ia măsuri în ceea ce priveşte o educaţie de calitate, echitabilă, favorabilă incluziunii (ODD 4) şi adaptării la schimbările climatice (ODD 13): sensibilizarea atitudinii cu privire la mediu şi reducerea impactului activităţii umane asupra acestuia, astfel încât toţi cei care urmează cursurile unei unităţi/instituţii de învăţământ să dobândească, pe parcurs, cunoştinţele şi competenţele necesare pentru a promova dezvoltarea durabilă.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CAPITOLUL 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Dispoziţii generale</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Prezenta metodologie reprezintă cadrul de referinţă pentru operaţionalizarea reţelei de "şcoli verzi" şi pentru organizarea şi funcţionarea unităţilor de învăţământ preuniversitar care doresc să obţină statutul de "şcoală verde".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(2) Unităţile de învăţământ preuniversitar cu statut de "şcoală verde", denumite în continuare "şcoli verzi", pot fi unităţi de învăţământ preuniversitar autorizate să funcţioneze provizoriu sau acreditate (de stat şi particulare), conform reglementărilor legale în vigoare.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Conceptul de "şcoală verde" desemnează profilul unei şcoli care creează un mediu sănătos şi care favorizează învăţarea, în timp ce economiseşte resurse, generează energie electrică proprie şi foloseşte tehnologii ce reduc emisiile de gaze cu efect de seră (pompe de căldură, autobuze electrice încărcate cu energie electrică produsă din panouri solare fotovoltaice etc.). "Şcolile verzi" reduc consumul de energie şi apă, de combustibili fosili, colectează separat deşeurile şi protejează mediul ambiant. "Şcolile verzi" protejează sănătatea elevilor şi a profesorilor prin asigurarea unui mediu interior curat şi sănătos, precum şi prin furnizarea de programe şi servicii pentru o bună nutriţie şi activitate fizică. "Şcolile verzi" îi învaţă pe elevi despre durabilitate şi mediu, oferindu-le instrumentele pentru a rezolva provocările globale cu care ne confruntăm acum şi în viitor.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(2) Conceptul de "şcoală verde" în România este inovator şi trebuie integrat într-un context mai larg al altor abordări: în România există, la momentul actual, şcoli cu elemente "verzi", implementate prin investiţii ale autorităţilor locale (sisteme de izolaţie termică, ventilaţie, de iluminare, de colectare selectivă ş.a), şcoli certificate eco sau green, cu accent pus pe managementul mediului, şcoli circulare care aplică conceptul de economie circulară la nivel de microstructură, prin utilizarea resurselor naturale, reducerea pierderilor şi a costurilor, colectarea separată, promovând astfel educaţia pentru dezvoltare durabilă la toate nivelurile de învăţământ, inclusiv în cadrul contextelor de învăţare nonformală.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(3) "Şcolile verzi" trebuie să îşi asume că nu prejudiciază mediul în mod semnificativ, obligaţie prevăzută de către Comisia Europeană - Orientări tehnice privind aplicarea principiului "de a nu prejudicia în mod semnificativ", în temeiul Regulamentului privind Mecanismul de redresare şi rezilienţă (2021/C 58/01).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ART. 3</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Pentru dobândirea statutului de "şcoală verde", unitatea de învăţământ preuniversitar trebuie să îndeplinească cumulativ următoarele condiţii: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infrastructură reabilitată/renovată/modernizată sau nouă, conform normativelor specifice şi premiselor stabilite la art. 23;</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integrarea în curriculumul şi în activităţile extraşcolare ale unităţii de învăţământ a elementelor de educaţie pentru dezvoltare durabilă/educaţie ecologică;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includerea, în documentele manageriale ale şcolii şi în practicile asociate, a unor măsuri care să reflecte accentul pus pe aspectul "verde" al şcolii, inclusiv din perspectiva digitalizării proceselor şi conţinuturilor;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deschiderea şcolii faţă de comunitate, inclusiv prin dezvoltarea de parteneriate/colaborări/cooperări cu actorii relevanţi ai comunităţii, pe zona de protecţie a mediului şi de dezvoltare sustenabilă.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(2) Noile normative privind proiectarea, realizarea şi exploatarea construcţiilor pentru şcoli şi licee sunt obligatorii.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(3) Operaţionalizarea conceptului de "şcoală verde" vizează funcţia de bază a "şcolilor verzi", şi anume educaţia pentru protecţia mediului înconjurător, inclusiv prin învăţare experienţială, derulată în spaţii (re)configurate ca spaţii prietenoase cu mediul, determinând motivarea şi implicarea elevilor şi a personalului unităţii de învăţământ în rezolvarea unor probleme de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4</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verzi" pot colabora cu instituţii mass-media pentru acţiuni de conştientizare şi educaţie privind schimbările climatice şi de mediu,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implementarea unor campanii de promovare în presa scrisă, la radio, TV şi în mediul online referitoare la transportul sustenabil către şcoală, reciclarea selectivă;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organizarea, în parteneriat cu anumite posturi de radio sau televiziune, a unor concursuri pentru campanii tematice privind gestionarea sustenabilă a deşeurilor;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promovarea unor proiecte, programe, campanii şi competiţii cu teme ecologice în care să fie implicate şcolile, familiile elevilor şi reprezentanţi ai instituţiilor publice şi private.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5</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care îşi afirmă intenţia de a dobândi statutul de "şcoală verde", prin includerea în activitatea lor curentă a elementelor din prezenta metodologie, vor fi selectate în vederea certificării ca "şcoli verzi", în funcţie de criterii stabilite în cadrul de referinţă. Se va ţine cont şi de disponibilitatea şcolii şi a autorităţii locale pentru a continua şi susţine parcursul către o "şcoală verde", de repartizarea echitabilă geografic şi pe medii de rezidenţă, de numărul de elevi, de nivelul de poluare al comunităţii din care provine unitatea de învăţământ, de experienţa anterioară în implementarea/derularea unor proiecte, de alte activităţi de mediu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6</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Până la sfârşitul anului 2025 se va operaţionaliza o reţea de "şcoli verzi", repartizate echitabil la nivel teritorial, inclusiv pe criteriul reprezentării în mediul rural-urban.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7</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vor putea solicita certificarea pentru a primi statutul de "şcoală verde", urmând să facă dovada respectării unor criterii aferente celor patru componente prezentate, ţinând cont de următoarele aspecte: sănătatea şi calitatea mediului interior, economia circulară şi conservarea resurselor, performanţa energetica, optimizarea consumului de apa, biodiversitatea, transportul sustenabil, curiculumul, managementul, parteneriatele ş.a.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8</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vor putea participa anual la un concurs naţional organizat de Ministerul Educaţiei, în parteneriat cu Ministerul Mediului, Apelor şi Pădurilor, pentru obţinerea statutului de "şcoală verde".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9</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Recunoaşterea statutului de "şcoală verde" se va realiza prin ordin comun al ministrului educaţiei şi al ministrului mediului, apelor şi pădurilor. În urma obţinerii acestui statut, şcolile vor beneficia de finanţare suplimentară prin bugetul Administraţiei Fondului pentru Mediu.</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CAPITOLUL III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Organizarea şi funcţionarea "şcolilor verzi"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SECŢIUNEA 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Componenţa managerială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ART. 10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integrează în documentele manageriale ale şcolii - Planul de dezvoltare instituţională (PDI), respectiv Planul de acţiune al şcolii pentru învăţământul profesional şi tehnic (PAS), Regulamentul de ordine interioară (ROI), Planul managerial, rapoartele anuale de evaluare - planificarea/execuţia/monitorizarea şi evaluarea unor măsuri specifice precum: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achiziţii privind reabilitarea termică, iluminarea cu un consum redus de energie, alimentarea cu energie electrică produsă de panouri solare/fotovoltaice, trecerea la sisteme de încălzire din surse regenerabile, achiziţia de lămpi solare, dezvoltarea infrastructurii de alimentaţie şcolară care promovează meniuri şi opţiuni alimentare sănătoase, facilitarea accesului la biciclete sau mijloace de transport nepoluante în regim de împrumut pentru elevii şcolii, asigurarea accesului la manuale digitale şi instrumente digitale de învăţare disponibile la nivelul unităţii de învăţământ (telefoane inteligente, tablete, laptopuri şi alte dispozitive electronice care pot fi puse în slujba educaţiei privind schimbările climatice), introducerea elementelor de design inspirat de natură ş.a.;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participarea periodică a cadrelor didactice/întregului personal al şcolii la programe de formare continuă în problematica dezvoltării durabile;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derularea de activităţi în cadrul cluburilor ecologice, de cursuri opţionale şi concursuri pe teme ecologice şi de dezvoltare durabilă, organizarea de activităţi extraşcolare sau competiţii privind adaptarea la schimbările climatice, precum şi implementarea de proiecte şi programe care să ducă la creşterea calităţii vieţii în localitate/cartier;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planificarea, în cadrul "Săptămânii Verzi" dedicate schimbărilor climatice şi mediului, a unui program complex, care să includă diverse activităţi practice, evenimente, competiţii, dezbateri, întâlniri cu cercetători, ONG-uri etc., în afara clasei (muzee, centre de cercetare, staţii meteo etc.) şi, în special, în natură. Se pot organiza vizite la centre de reciclare şi la fabrici, la staţii de epurare şi tratare a apei, la muzee şi expoziţii unde se pot viziona/proba echipamente inteligente. De asemenea, pot avea loc activităţi care pun accent pe transformarea în mobilier ambiental a unor obiecte din materiale reutilizate (de exemplu, anvelope auto, PET-uri), amenajarea unor construcţii ecologice în situl şcolii, inclusiv în colaborare cu studenţi de la facultăţi de profil (arhitectură, construcţii, design, arte);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promovarea în rândul elevilor a unor activităţi de observaţie de tip "patrulă şcolară", activităţi de tipul "învăţare prin practică", excursii şi tabere în ecopensiuni, pentru a facilita înţelegerea conceptului de sustenabilitate prin exemple de bune practici - clădiri şi comunităţi care protejează mediul şi contribuie la reducerea emisiilor de gaze cu efect de seră;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utilizarea unei platforme web care să faciliteze participarea elevilor la acţiuni dedicate protecţiei mediului. Această platformă poate fi integrată cu alte resurse educaţionale sau biblioteci virtuale, accesibile sistemului naţional de învăţământ. Platforma poate funcţiona şi ca un forum pentru coagularea unei reţele teritoriale naţionale sau internaţionale de profesori - promotori ai educaţiei privind schimbările climatice şi protejarea mediului;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utilizarea unor aplicaţii specifice educaţiei pentru mediu destinate inclusiv elevilor (de exemplu, "Mini Inspectorul de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digitalizarea practicilor şi procedurilor la nivelul unităţii de învăţământ (de exemplu, utilizarea unui catalog digital, organizarea diverselor şedinţe în format online, instituirea unui avizier electronic, testarea curentă a elevilor în format digital, realizarea de proiecte individuale sau de grup în format electronic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încurajarea folosirii manualelor şi a auxiliarelor în format digital, cu asigurarea echipamentelor şi conexiunii la internet în întreg spaţiul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Directorul/Directorii adjuncţi are/au următoarele responsabilităţi în ceea ce priveşte componenta "verde" a unităţii de învăţământ: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include/includ în propunerea de proiect de buget sumele necesare activităţilor de mediu prevăzute în documentele manageriale ale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numeşte/numesc responsabilul pentru componenta "verde" a unităţii - "responsabilul verde", sprijinind activitatea acestuia;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asigură achiziţionarea produselor de curăţenie pe bază de ingrediente naturale, provenite din agricultura biologică;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solicită "responsabilului verde" să îşi aducă contribuţia în ceea ce priveşte conţinutul fişelor de post, asigurându-se ca fiecare salariat al şcolii să aibă minimum o atribuţie legată de componenta "verde" a unităţii;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e) se asigură că orarul unităţii de învăţământ va ţine cont de obligaţiile elevilor şi ale personalului: copii, cadre didactice, personal didactic auxiliar şi nedidactic în ceea ce priveşte acţiunile "verzi" planificate în documentele manageriale ale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Rapoartele anuale de activitate întocmite de către director şi directorul adjunct/directorii adjuncţi, după caz, trebuie să reflecte şi elemente implementate, specifice unei "şcoli verzi".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SECŢIUNEA a 2-a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Componenta curriculară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13</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acordă un interes deosebit Educaţiei pentru dezvoltare durabilă, Educaţiei ecologice, prin integrarea acestora în curriculumul său, pentru dezvoltarea în rândul elevilor, dar şi al personalului şcolii şi al comunităţii din care aceasta face parte a unui comportament ecologic responsabil, menit să asigure un echilibru între sănătatea individului şi calitatea mediului.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14</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trebuie să asigure baza materială necesară pentru buna desfăşurare a activităţilor didactice specifice pentru formarea de competenţe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15</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implementează măsuri care încurajează informarea şi formarea cadrelor didactice şi a întregului personal al şcolii,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programe de formare a personalului şi suporturi de curs; programe de formare continuă (cadre didactice) în problematica schimbărilor climatice. Participarea la aceste cursuri este obligatorie şi gratuită, cel puţin o dată la trei ani, pentru întreg personalul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implicarea personalului în promovarea de bune practici şi de acţiuni pentru mediu, la nivelul şcolii şi al comunităţii.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16</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În cadrul "şcolii verzi" sunt utilizate practici didactice adaptate educaţiei pentru protecţia mediului înconjurător,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introducerea, în activităţile de predare-învăţare-evaluare ale disciplinelor din trunchiul comun sau opţionale, în funcţie de vârsta şi nivelul elevului, de noţiuni de mediu şi schimbări climatice, marcate distinct în planurile de lecţie;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implementarea, în cadrul curriculumului la decizia şcolii/curriculumului în dezvoltare locală, de discipline opţionale specifice, cu tematică relevantă pentru schimbări climatice şi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implementarea de discipline opţionale integrate cu tematici relaţionate cu Educaţia pentru dezvoltare durabilă/Educaţia ecologică, cum ar fi Educaţia pentru sănătate.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17</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"Şcoala verde" asigură cunoştinţe în materie de mediu pentru toţi elevii, promovează practici de instruire interdisciplinară în acest sens şi integrează tematici de mediu în toate procesele de educaţie ale elevilor pentru a forma un comportament responsabil al elevilor faţă de mediul înconjurător şi pentru a construi aptitudinile şi competenţele necesare ale acestora pentru tranziţia "verde".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(2) Competenţele "verzi" sunt definite ca fiind abilităţi necesare pentru a adapta produsele, serviciile şi procesele la schimbările climatice şi la cerinţele şi reglementările de mediu aferente şi reprezintă în ansamblu "cunoştinţele, abilităţile, valorile şi atitudinile necesare pentru a trăi, a dezvolta şi a susţine o societate durabilă şi eficientă din punctul de vedere al resurselor"*1).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(3) Scopul dezvoltării de competenţe "verzi" în rândul elevilor, dar şi al întregului personal al şcolii şi al întregii comunităţi este promovarea protejării mediului natural propice unei vieţi sănătoase, conştientizarea consecinţelor pe care le poate avea exploatarea neadecvată a resurselor naturale şi manifestarea spiritului de iniţiativă privind protecţia mediului de viaţă.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(4) Conducerea şcolilor trebuie să creeze un mediu de învăţare bazat pe o "cultură ecologică", din perspectiva învăţării formale, precum şi integrarea competenţelor "verzi" şi a aspectelor legate de schimbările climatice în procesul de predare şi de învăţare, pentru atingerea scopului final, acela de a dobândi statutul de "şcoală verde" .</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(5) "Şcoala verde" trebuie ca, prin infrastructuri adecvate de protejare a mediului, să îşi desfăşoare activitatea într-un mod durabil, în parteneriat cu toate părţile interesate din mediul şcolar, pentru a-i pregăti </w:t>
      </w:r>
      <w:r w:rsidRPr="0042305D">
        <w:rPr>
          <w:rFonts w:cs="Times New Roman"/>
          <w:sz w:val="22"/>
          <w:szCs w:val="28"/>
          <w:lang w:val="ro-RO"/>
        </w:rPr>
        <w:lastRenderedPageBreak/>
        <w:t>pe elevi să combată schimbările climatice, atât în calitatea lor viitoare de cetăţeni activi, cât şi la viitoarele lor locuri de muncă.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(6) O "şcoală verde" dezvoltă comportamente adecvate în rândul elevilor săi: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elevii identifică şi semnalează corect problemele de mediu din comunitate autorităţilor competente;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elevii reacţionează responsabil la comportamentele altor persoane fizice sau juridice care pun natura sau oamenii în pericol;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elevii iau parte la acţiuni de voluntariat pentru protejarea mediului, refacerea florei şi faunei, împăduriri, crearea de spaţii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elevii se implică activ în grupuri locale pentru creşterea calităţii vieţii în comunitatea 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(7) O "şcoală verde" se asigură că elevii săi dezvoltă valori precum: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echitate;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integritate;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stare de bine;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profesionalism;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excelenţă;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respect;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toleranţă;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transparenţă;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flexibilitate şi colaborare.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(8) O "şcoală verde" promovează atitudini/deprinderi dobândite de elevi, precum: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atitudine responsabilă faţă de mediul înconjurător şi faţă de modul de utilizare a resurselor;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solidaritate;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responsabilitate socială;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cooperare pentru dezvoltare;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economisire de resurse;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capacitate de analiză a calităţii mediului înconjurător, corespunzătoare comunităţii în care trăiesc elevii;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capacitate de analiză critică a unor probleme de mediu manifestate la nivel naţional/global;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relaţionare pozitivă în cadrul diverselor comunităţi;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corelare, în contexte diferite, a drepturilor cu responsabilităţile corespunzătoare acestora;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atitudine analitică a consecinţelor pozitive şi a celor negative legate de stilurile de viaţă ale oamenilor în ceea ce priveşte dezvoltarea durabilă.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(9) Elevii unei "şcoli verzi" pot: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să identifice surse sigure şi competente de informare privind protecţia şi calitatea mediului;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să formuleze şi să exprime idei, puncte de vedere, critici şi argumente cu privire la problematici de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să propună alternative, soluţii la probleme de mediu, să ia decizii sustenabile şi să îşi asume responsabilitatea pentru acestea;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să aducă schimbări pozitive în atitudini şi comportamente privind protejarea mediului şi menţinerea calităţii vieţii.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(10) În completarea educaţiei formale, contextele nonformale contribuie la educaţia pentru cetăţenia responsabilă faţă de mediu, oferind oportunităţi şi condiţii care le permit elevilor să dobândească cunoştinţe şi competenţe ecologice necesare pentru a deveni cetăţeni responsabili faţă de mediu. "Şcoala verde" este sprijinită, prin programe educaţionale nonformale, de către organizaţiile care folosesc aceste metode, întrucât ele completează educaţia formală din şcoli.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Cedefop, 2012.</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SECŢIUNEA a 3-a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Componenta socială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18</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are un rol important în comunitate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crearea de spaţii de întâlnire şi organizarea de evenimente, nu doar cu familiile elevilor, ci şi cu instituţiile publice şi mediul privat, pe care îi antrenează în proiecte de mediu comune, benefice întregii comunităţi;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b) crearea contextului pentru ca elevii să îşi asume coresponsabilitatea faţă de mediu şi să înveţe un model de cooperare pentru rezolvarea problemelor comunităţii.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19</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(1) "Şcoala verde" dezvoltă parteneriate la nivel local (cu autorităţile publice locale, ONG-uri, mediul de afaceri etc.), naţional şi internaţional (proiecte, de exemplu Erasmus+), care implică elevi şi cadre didactice în activităţi care contribuie la educaţia pentru dezvoltarea durabilă/educaţia ecologică şi dezvoltarea competenţelor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(2) Competenţele "verzi" pot fi dezvoltate şi în cooperare cu actorii relevanţi în cadrul unui dialog social eficace şi prin consultare cu organizaţiile relevante ale societăţii civile, inclusiv cu organizaţii ale elevilor/studenţilor, ale tinerilor, ale profesorilor şi ale părinţilor, precum şi cu ONG-uri. Aceşti factori interesaţi pot propune şi sprijini, la nivelul şcolilor, acţiuni specifice de educaţie şi formare în domeniul competenţelor "verzi", care răspund nevoilor elevilor în context comunitar.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În parteneriat cu ONG-urile cu activităţi în domeniul protecţiei mediului, şcolile pot organiza activităţi pentru elevi, precum: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elaborarea de materiale didactice sau educaţionale, care pot fi încărcate pe platforme online dedicate profesorilor şi elevilor, pentru a sprijini educaţia privind schimbările climatice şi de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desfăşurarea unor activităţi practice cu utilizarea unor echipamente de protecţie pentru elevi, profesori, familii implicate şi voluntari, a unor echipamente şi accesorii destinate încurajării mersului pe jos şi cu bicicleta, a unor hărţi ale cartierului pentru stabilirea unor rute personalizate, a unor veste şi banderole reflectorizante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21</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Autorităţile locale pot sprijini "şcolile verzi" prin diverse tipuri de iniţiative, între care se regăsesc: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achiziţionarea de mijloace de transport şcolar nepoluante sau a unor mijloace alternative de transport (biciclete, trotinete) care să poată fi utilizate atât de către elevi, cât şi de către personalul unităţii de învăţământ;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investiţia în proiecte de staţii de încărcare a vehiculelor electrice sau a altor mijloace de transport nepoluante în incinta sau în apropierea şcolilor, amenajarea unor piste de biciclete, alei în circumscripţia şcolară;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organizarea de campanii de conştientizare asupra risipei alimentare şi promovarea produselor alimentare din surse locale;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amenajarea unor facilităţi pentru biciclişti în imediata apropiere a şcolilor: vestiare, spaţii de depozitare şi staţii de reparaţii biciclete;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organizarea infrastructurii pentru colectarea separată a deşeurilor în şcoli: coşuri cu separaţie pe diferite fracţii în clase/pe coridoare, infrastructură care să permită transportarea eficientă de către îngrijitori a deşeurilor pe fracţii din clase spre tomberoanele şcolii, tomberoane dedicate diferitor tipuri de materiale;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încheierea de contracte adecvate cu firmele de salubritate pentru colectarea deşeurilor pe fracţii din şcoli;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amenajarea de centre de colectare separată la nivelul localităţilor în care funcţionează "şcoli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amenajarea şi mentenanţa spaţiilor verzi în concordanţă cu prevederile art. 24;</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proiectarea/renovarea/construcţia infrastructurii şcolare în concordanţă cu prevederile art. 24 şi 25;</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susţinerea implementării măsurilor stabilite prin planurile manageriale ale unităţilor de învăţământ.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22</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Comunitatea se poate implica în educaţia privind schimbările climatice şi mediu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implicarea unor profesionişti care îşi prezintă proiectele: bucătari, nutriţionişti, persoane active în economia "verde"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facilitarea unor vizite ale elevilor (eventual însoţiţi de părinţi) şi ale profesorilor la: centre de reciclare, fabrici, staţii de epurare a apei, centre de colectare separată şi reciclare a deşeurilor, ateliere de design local, în care sunt produse diferite obiecte din materiale reciclate, sere, ferme, grădini în care se realizează agricultură ecologică;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organizarea periodică a unor mese rotunde, a unor activităţi de voluntariat pentru rezolvarea de situaţii de conflict, risc sau urgenţă induse de fenomene naturale, cu suportul specialiştilor (de exemplu, poliţişti, jandarmi, pompieri, medici, psihologi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organizarea unor competiţii de design care implică specialişti locali, de exemplu, pentru realizarea unor recipiente de colectare selectivă a deşeurilor (atât exterioare, cât şi interioare);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donaţii sau alte contribuţii cu respectarea cadrului legal;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f) participarea la evenimente cu caracter public organizate de unitatea de învăţământ.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23</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Operatorii economici se pot implica în activitatea "şcolilor verzi" prin demersuri precum:</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crearea de comunităţi de sprijin pentru şcolile care vor realiza programe de investiţii în infrastructură pentru eficienţa energetică şi sustenabilitatea clădirilor şi a practicilor de consum în şcoli;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burse şcolare, implicarea în activităţi de voluntariat, acordarea de sponsorizări sau donaţii, în concordanţă cu prevederile legale;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asigurarea conexiunii la internet şi dotarea şcolilor cu laboratoare inteligente/ateliere tehnologice destinate studiului interdisciplinar şi integrat al ştiinţelor, tehnologiei, designului, ingineriei, artei şi matematicii;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implementarea unor proiecte de monitorizare comparativă a calităţii aerului sau a consumului de apă şi energie (a energiei produse/energiei consumate/energiei din surse neregenerabile economisite) din mai multe şcoli. Acestea pot implica şi realizarea unei platforme online în care să fie prezentate rezultatele în timp real;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realizarea unor parteneriate pentru amenajarea unor grădini de legume, zarzavaturi, sere, solare sau grădini de pomi fructiferi în incinta sau pe terenurile şcolii: cultivarea anumitor plante, legume şi fructe pe terenurile şcolii, în grădina şcolii, în sere sau pe acoperişul "verde" al şcolii.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SECŢIUNEA a 4-a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Componenta de infrastructură</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24</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Din perspectiva infrastructurii, apartenenţa unei şcoli la categoria de "şcoli verzi" este determinată de respectarea următoarelor premise privind:</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protejarea sănătăţii şi respectarea normelor de igienă;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ocrotirea mediului înconjurător şi utilizarea sustenabilă a resurselor naturale;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reducerea cantităţii de deşeuri produse în cadrul unităţii de învăţământ şi colectarea separată a acestora;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integrarea, conservarea şi valorificarea zonei verzi a terenului de amplasament în procesul educativ;</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amenajarea peisagistică sustenabilă;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economia de apă, energie şi izolarea termică;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reducerea amprentei de dioxid de carbon;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reducerea emisiilor de substanţe poluante;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mobilitatea sustenabilă;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utilizarea adecvată şi extinsă a resurselor informatice, prin digitalizare la nivel de proceduri, practici şi conţinuturi.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25</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Investiţiile şi dotările în infrastructura unei "şcoli verzi", asigurate în fazele de proiectare/construcţie/renovare, pot cuprinde următoarele: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spaţii exterioare extinse, inclusiv locuri de joacă, spaţii adaptate desfăşurării orelor de curs în aer liber, terenuri de atletism, piste şi spaţii verzi amenajate şi dezvoltate, disponibile pentru elevi. Spaţiile exterioare ale şcolii, de exemplu locurile de joacă, trebuie să fie "verzi", inclusiv prin reducerea suprafeţelor pavate şi înlocuirea lor cu iarbă/plante locale, uşor adaptabile;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plante nontoxice/nonalergene integrate în interior, care purifică aerul, amplasate în săli de clasă şi spaţii comune, care acoperă cel puţin 1% din suprafaţa utilă a clădirii;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sisteme permanente de filtrare sau colectare a apelor meteorice (de exemplu, sisteme vegetative de bioretenţie, cisterne colectoare de apă de ploaie etc.), mecanisme de reducere a scurgerii apei din amplasamentul său, consumarea apei proaspete cât mai eficient posibil (instalarea de unităţi sanitare cu debite reduse de apă), precum şi recuperarea, urmată de reutilizarea apei gri, în măsura în care acest lucru este fezabil;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capacitate de stocare a apei pluviale instalată la faţa locului;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materiale de construcţii "verzi" cu declaraţii de mediu/certificări, mochete şi covoare cu conţinut redus de formaldehidă, cu conţinut reciclat, vopsele din materiale naturale reciclabile, lavabile, lemn, piatră şi adezivi cu conţinut redus de compuşi organici volatili toxici, maximum 10 g/l compuşi organici volatili (COV), sau cu conţinut aproape zero, maximum 1g/l COV etc.;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spaţii verzi, grădini didactice, sere, care permit elevilor să observe/să se implice în evoluţia dezvoltării diferitelor specii de plante de la momentul cultivării până la stadiul de maturitate şi în care se va folosi compostul rezultat din descompunerea aerobă a deşeurilor alimentare;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g) grădini de legume, zarzavaturi, flori, pomi fructiferi, sere, ferme, ţarcuri şi cuşti pentru animale mici, sisteme de hrănire pentru păsări, sere pentru fluturi;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materiale pentru amenajarea unor elemente în situl şcolii: pavilioane, portice, foişoare, chioşcuri, pergole, copertine, console, gradene, mici amfiteatre, platforme, scene, nişe, tuneluri, tobogane, plase şi alte structuri inovative. Regenerarea habitatului regional se va realiza atât în cadrul sitului şcolii, cât şi pe acoperişul "verde" al şcolii, în faţade "verzi" sau în interior: sere, jardiniere, ghivece, pereţi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spaţii de depozitare pentru uneltele de grădinărit şi zone pentru depozitarea frigorifică a legumelor şi fructelor;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utilizarea de plante care nu necesită întreţinere şi irigare intensivă, precum şi plante care susţin biodiversitatea;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k) laboratoare de ştiinţe ale naturii unde se observă şi se realizează procese şi fenomene naturale;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l) crearea unui spaţiu sigur de parcare pentru biciclete şi alte mijloace de deplasare nepoluante, suficient pentru minimum 30% din numărul de elevi;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m) asigurarea surselor de alimentare pentru mijloacele de deplasare nepoluante.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26</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"Şcoala verde" implementează mecanisme de creştere a performanţei energetice, care se poate obţine inclusiv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îmbunătăţirea izolaţiei termice a anvelopei clădirii, a şarpantelor şi a învelitorilor, precum şi a altor elemente de anvelopă care închid spaţiul climatizat al clădirii;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introducerea, reabilitarea şi modernizarea, după caz, a instalaţiilor pentru prepararea, distribuţia şi utilizarea agentului termic pentru încălzire şi a apei calde de consum, a sistemelor de ventilare şi climatizare, a sistemelor de ventilare mecanică cu recuperarea căldurii, inclusiv a sistemelor de răcire pasivă, precum şi achiziţionarea şi instalarea echipamentelor aferente şi racordarea acestora la sistemele de încălzire centralizată, după caz;</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instalarea senzorilor de mişcare pentru bateriile de apă menajeră;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utilizarea surselor regenerabile de energie (prin panouri solare/fotovoltaice);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implementarea sistemelor de management energetic având ca scop îmbunătăţirea eficienţei energetice şi monitorizarea consumurilor de energie (de exemplu, achiziţionarea, instalarea, întreţinerea şi exploatarea sistemelor inteligente pentru gestionarea şi monitorizarea oricărui tip de energie pentru asigurarea condiţiilor de confort interior);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utilizarea, pe cât posibil, a luminii naturale pentru iluminarea unei clădiri, reducând astfel consumul de energie;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înlocuirea corpurilor de iluminat fluorescent şi incandescent cu corpuri de iluminat cu eficienţă energetică ridicată şi durată mare de viaţă, tehnologie LED, cu respectarea normelor şi reglementărilor tehnice;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instalarea senzorilor de mişcare şi/sau crepusculari pentru sistemele de iluminat;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optimizarea calităţii aerului interior prin ventilaţie mecanică cu unităţi individuale sau centralizată, după caz, cu recuperare de energie termică pentru asigurarea necesarului de aer proaspăt şi a nivelului de umiditate, care să garanteze starea de sănătate a utilizatorilor în spaţiile în care îşi desfăşoară activitatea (instalarea de echipamente de ventilaţie cu recuperare de energie, care ar putea reduce în mod eficient filtrarea contaminanţilor din aerul exterior şi care va îmbunătăţi calitatea aerului interior).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27</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Cerinţele/Criteriile privind infrastructura unei "şcoli verzi" în faza de exploatare pot fi: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măsuri de îmbunătăţire continuă a nivelului de sustenabilitate al clădirii;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sistem centralizat de monitorizare a calităţii aerului şi a confortului termic în toate încăperile ocupate, precum şi la nivel de clădire (prin reţele de senzori);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sistem de monitorizare a consumurilor de energie, apă rece şi apă caldă ale clădirii;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colectarea separată a deşeurilor pentru reciclare, reducerea deşeurilor de hârtie, eliminarea plasticului de unică folosinţă;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recuperarea deşeurilor organice pentru compost;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verificarea indicatorilor de calitate a apei potabile într-un laborator acreditat, minimum o dată pe an.</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SECŢIUNEA a 5-a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w:t>
      </w:r>
      <w:r w:rsidRPr="0042305D">
        <w:rPr>
          <w:rFonts w:cs="Times New Roman"/>
          <w:b/>
          <w:bCs/>
          <w:sz w:val="22"/>
          <w:szCs w:val="28"/>
          <w:lang w:val="ro-RO"/>
        </w:rPr>
        <w:t>Impactul "şcolilor verzi" asupra mediului, rezultatelor învăţării şi calităţii vieţii</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28</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lastRenderedPageBreak/>
        <w:t xml:space="preserve">    "Şcolile verzi" au un impact pozitiv asupra mediului, cuantificat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costuri de exploatare pentru energie şi apă reduse cu minimum 20%;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colectarea selectivă a deşeurilor pe minimum 4 fracţii;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reducerea deşeurilor nereciclabile cu minimum 50%;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servicii de nutriţie sănătoasă disponibile pentru toţi elevii;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suprafaţă de spaţii verzi amenajate pentru activităţi educaţionale şi recreative;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existenţa unui spaţiu de parcare pentru biciclete cu o capacitate de 1 loc la 3 elevi;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ponderea resurselor de învăţare electronice/digitale în totalul resurselor folosite în şcoală este de minimum 50%;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existenţa de kituri de măsurare a poluanţilor din atmosferă;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existenţa unor aplicaţii gratuite în şcoli pentru a măsura factorii poluanţi;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reducerea deşeurilor cu până la 25%.</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29</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verzi" au un impact ridicat asupra rezultatelor învăţării, cuantificat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implicarea directă în acţiuni pentru protejarea mediului natural (individuale, de grup) echivalente cu 30% din numărul elevilor;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creşterea cu până la 40% a stării de bine a elevilor şi a profesorilor, estimată în baza feedbackului acestora;</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organizarea de acţiuni de sensibilizare a comunităţii pe tema schimbărilor climatice, organizate cu sau de către elevi, de cel puţin patru ori pe parcursul unui an;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implicarea personalului alături de elevi în cel puţin două acţiuni anuale pentru mediu la nivelul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integrarea unor noţiuni de mediu şi schimbări climatice în disciplinele din trunchiul comun (cel puţin 10% din activităţile de predare-învăţare-evaluare anuale prevăzute în planurile de lecţie);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implementarea a cel puţin două discipline opţionale specifice, pe nivel de învăţământ, cu tematică relevantă pentru schimbările climatice şi mediu în plus faţă de Educaţia pentru viaţă din trunchiul comun;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implementarea a cel puţin unei discipline opţionale integrate cu tematici relaţionate cu Educaţia pentru dezvoltare durabilă/Educaţia ecologică;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înlocuirea manualelor şi a auxiliarelor tipărite cu materiale în format digital;</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digitalizarea proceselor administrative de la nivelul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elaborarea de resurse care pot fi încărcate pe platforme online dedicate profesorilor şi elevilor, pentru a sprijini educaţia privind schimbările climatice şi de mediu;</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k) minimum 50% dintre elevi iau parte la acţiuni de voluntariat pentru protejarea mediului, refacerea florei şi faunei, împăduriri şi crearea de spaţii verzi;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l) minimum 30% dintre elevi se implică activ în grupuri locale pentru conservarea vieţii în comunitatea lor;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m) completarea ofertei curriculare a şcolii cu cel puţin două programe educaţionale nonformale pe an, oferite de organizaţii din societatea civilă sau din mediul economic.</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ART. 30</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"Şcolile verzi" au un impact crescut asupra calităţii vieţii, cuantificat prin:</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a) numărul de proceduri de curăţenie şi igienizare a spaţiilor interioare şi exterioare, fiind evitate substanţele periculoase, toxice sau nocive pentru mediu, pentru asigurarea unui mediu interior mai curat, mai sănătos şi mai sigur în şcoală pentru elevi;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b) numărul de programe şi servicii pentru o bună nutriţie şi activitate fizică;</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c) numărul de grădini şi sere în care se cultivă legume şi fructe, pentru îmbunătăţirea nivelului alimentaţiei în acest tip de şcoală, mai ales în unităţile de învăţământ în care funcţionează deja cantine;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d) soluţii de atenuare a zgomotului interior şi exterior;</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e) modalităţi identificate pentru asigurarea confortului fiziologic - aer proaspăt respirat de elevi în perioada în care participă la activităţi şcolare şi extraşcolare desfăşurate în incinta unităţilor de învăţământ;</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f) numărul de cursuri de formare pentru responsabilii din unitatea de învăţământ pe tema evitării utilizării pesticidelor şi altor substanţe nocive în procesele de curăţenie şi întreţinere a spaţiilor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g) trecerea la sisteme de încălzire din surse regenerabile; achiziţia de lămpi solare;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h) dezvoltarea infrastructurii de alimentaţie şcolară care promovează meniuri şi opţiuni alimentare sănătoase;</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i) facilitarea accesului la biciclete în regim de împrumut pentru elevii şcolii;</w:t>
      </w:r>
    </w:p>
    <w:p w:rsidR="0099550C" w:rsidRPr="0042305D" w:rsidRDefault="0099550C" w:rsidP="0099550C">
      <w:pPr>
        <w:autoSpaceDE w:val="0"/>
        <w:autoSpaceDN w:val="0"/>
        <w:adjustRightInd w:val="0"/>
        <w:spacing w:after="0" w:line="240" w:lineRule="auto"/>
        <w:rPr>
          <w:rFonts w:cs="Times New Roman"/>
          <w:sz w:val="22"/>
          <w:szCs w:val="28"/>
          <w:lang w:val="ro-RO"/>
        </w:rPr>
      </w:pPr>
      <w:r w:rsidRPr="0042305D">
        <w:rPr>
          <w:rFonts w:cs="Times New Roman"/>
          <w:sz w:val="22"/>
          <w:szCs w:val="28"/>
          <w:lang w:val="ro-RO"/>
        </w:rPr>
        <w:t xml:space="preserve">    j) activităţi practice desfăşurate cu utilizarea unor echipamente de protecţie pentru elevi, profesori, familii implicate şi voluntari, a unor echipamente şi accesorii destinate încurajării mersului pe jos, cu bicicleta sau </w:t>
      </w:r>
      <w:r w:rsidRPr="0042305D">
        <w:rPr>
          <w:rFonts w:cs="Times New Roman"/>
          <w:sz w:val="22"/>
          <w:szCs w:val="28"/>
          <w:lang w:val="ro-RO"/>
        </w:rPr>
        <w:lastRenderedPageBreak/>
        <w:t>cu alte mijloace de transport nepoluante, a unor hărţi ale cartierului pentru stabilirea unor rute personalizate, a unor veste şi banderole reflectorizante etc.</w:t>
      </w:r>
    </w:p>
    <w:p w:rsidR="0099550C" w:rsidRPr="0042305D" w:rsidRDefault="0099550C" w:rsidP="0099550C">
      <w:pPr>
        <w:autoSpaceDE w:val="0"/>
        <w:autoSpaceDN w:val="0"/>
        <w:adjustRightInd w:val="0"/>
        <w:spacing w:after="0" w:line="240" w:lineRule="auto"/>
        <w:rPr>
          <w:rFonts w:cs="Times New Roman"/>
          <w:sz w:val="22"/>
          <w:szCs w:val="28"/>
          <w:lang w:val="ro-RO"/>
        </w:rPr>
      </w:pPr>
    </w:p>
    <w:p w:rsidR="004D7634" w:rsidRPr="0042305D" w:rsidRDefault="0099550C" w:rsidP="0099550C">
      <w:pPr>
        <w:rPr>
          <w:sz w:val="20"/>
          <w:lang w:val="ro-RO"/>
        </w:rPr>
      </w:pPr>
      <w:r w:rsidRPr="0042305D">
        <w:rPr>
          <w:rFonts w:cs="Times New Roman"/>
          <w:sz w:val="22"/>
          <w:szCs w:val="28"/>
          <w:lang w:val="ro-RO"/>
        </w:rPr>
        <w:t xml:space="preserve">                              ---------------</w:t>
      </w:r>
    </w:p>
    <w:sectPr w:rsidR="004D7634" w:rsidRPr="0042305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370" w:rsidRDefault="006E3370" w:rsidP="0099550C">
      <w:pPr>
        <w:spacing w:after="0" w:line="240" w:lineRule="auto"/>
      </w:pPr>
      <w:r>
        <w:separator/>
      </w:r>
    </w:p>
  </w:endnote>
  <w:endnote w:type="continuationSeparator" w:id="0">
    <w:p w:rsidR="006E3370" w:rsidRDefault="006E3370" w:rsidP="00995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50C" w:rsidRPr="0042305D" w:rsidRDefault="0099550C" w:rsidP="0099550C">
    <w:pPr>
      <w:pStyle w:val="Footer"/>
      <w:jc w:val="center"/>
      <w:rPr>
        <w:sz w:val="22"/>
      </w:rPr>
    </w:pPr>
    <w:r w:rsidRPr="0042305D">
      <w:rPr>
        <w:sz w:val="22"/>
      </w:rPr>
      <w:fldChar w:fldCharType="begin"/>
    </w:r>
    <w:r w:rsidRPr="0042305D">
      <w:rPr>
        <w:sz w:val="22"/>
      </w:rPr>
      <w:instrText xml:space="preserve"> PAGE  \* Arabic  \* MERGEFORMAT </w:instrText>
    </w:r>
    <w:r w:rsidRPr="0042305D">
      <w:rPr>
        <w:sz w:val="22"/>
      </w:rPr>
      <w:fldChar w:fldCharType="separate"/>
    </w:r>
    <w:r w:rsidR="0042305D">
      <w:rPr>
        <w:noProof/>
        <w:sz w:val="22"/>
      </w:rPr>
      <w:t>2</w:t>
    </w:r>
    <w:r w:rsidRPr="0042305D">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370" w:rsidRDefault="006E3370" w:rsidP="0099550C">
      <w:pPr>
        <w:spacing w:after="0" w:line="240" w:lineRule="auto"/>
      </w:pPr>
      <w:r>
        <w:separator/>
      </w:r>
    </w:p>
  </w:footnote>
  <w:footnote w:type="continuationSeparator" w:id="0">
    <w:p w:rsidR="006E3370" w:rsidRDefault="006E3370" w:rsidP="009955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50C"/>
    <w:rsid w:val="003D4606"/>
    <w:rsid w:val="003F7CE1"/>
    <w:rsid w:val="0042305D"/>
    <w:rsid w:val="004D7634"/>
    <w:rsid w:val="006E3370"/>
    <w:rsid w:val="00995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83290-BFE7-496D-A2E8-DFE2E2B6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5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50C"/>
  </w:style>
  <w:style w:type="paragraph" w:styleId="Footer">
    <w:name w:val="footer"/>
    <w:basedOn w:val="Normal"/>
    <w:link w:val="FooterChar"/>
    <w:uiPriority w:val="99"/>
    <w:unhideWhenUsed/>
    <w:rsid w:val="009955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6320</Words>
  <Characters>36026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2022-07-15T06:11:00Z</dcterms:created>
  <dcterms:modified xsi:type="dcterms:W3CDTF">2022-12-17T13:46:00Z</dcterms:modified>
</cp:coreProperties>
</file>