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BF" w:rsidRPr="00780FBF" w:rsidRDefault="00780FBF" w:rsidP="00780FBF">
      <w:pPr>
        <w:autoSpaceDE w:val="0"/>
        <w:autoSpaceDN w:val="0"/>
        <w:adjustRightInd w:val="0"/>
        <w:spacing w:after="0" w:line="240" w:lineRule="auto"/>
        <w:rPr>
          <w:rFonts w:cs="Times New Roman"/>
          <w:szCs w:val="28"/>
          <w:lang w:val="ro-RO"/>
        </w:rPr>
      </w:pPr>
      <w:bookmarkStart w:id="0" w:name="_GoBack"/>
      <w:bookmarkEnd w:id="0"/>
      <w:r w:rsidRPr="00780FBF">
        <w:rPr>
          <w:rFonts w:cs="Times New Roman"/>
          <w:szCs w:val="28"/>
          <w:lang w:val="ro-RO"/>
        </w:rPr>
        <w:t xml:space="preserve">            ORDONANŢĂ DE URGENŢĂ  Nr. 155/2020 din 3 septembrie 2020</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privind unele măsuri pentru elaborarea Planului naţional de redresare şi rezilienţă necesar României pentru accesarea de fonduri externe rambursabile şi nerambursabile în cadrul Mecanismului de redresare şi rezilienţă</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Text în vigoare începând cu data de 3 februarie 2023</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REALIZATOR: COMPANIA DE INFORMATICĂ NEAMŢ</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Text actualizat prin produsul informatic legislativ LEX EXPERT în baza actelor normative modificatoare, publicate în Monitorul Oficial al României, Partea I, până la 31 ianuarie 2023.</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Formă la zi recentă</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i/>
          <w:iCs/>
          <w:szCs w:val="28"/>
          <w:lang w:val="ro-RO"/>
        </w:rPr>
        <w:t xml:space="preserve">    Act de bază</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b/>
          <w:bCs/>
          <w:color w:val="008000"/>
          <w:szCs w:val="28"/>
          <w:u w:val="single"/>
          <w:lang w:val="ro-RO"/>
        </w:rPr>
        <w:t>#B</w:t>
      </w:r>
      <w:r w:rsidRPr="00780FBF">
        <w:rPr>
          <w:rFonts w:cs="Times New Roman"/>
          <w:szCs w:val="28"/>
          <w:lang w:val="ro-RO"/>
        </w:rPr>
        <w:t xml:space="preserve">: </w:t>
      </w:r>
      <w:r w:rsidRPr="00780FBF">
        <w:rPr>
          <w:rFonts w:cs="Times New Roman"/>
          <w:i/>
          <w:iCs/>
          <w:szCs w:val="28"/>
          <w:lang w:val="ro-RO"/>
        </w:rPr>
        <w:t>Ordonanţa de urgenţă a Guvernului nr. 155/2020, publicată în Monitorul Oficial al României, Partea I, nr. 819 din 7 septembrie 2020</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i/>
          <w:iCs/>
          <w:szCs w:val="28"/>
          <w:lang w:val="ro-RO"/>
        </w:rPr>
        <w:t xml:space="preserve">    Acte modificatoare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#M7</w:t>
      </w:r>
      <w:r w:rsidRPr="00780FBF">
        <w:rPr>
          <w:rFonts w:cs="Times New Roman"/>
          <w:szCs w:val="28"/>
          <w:lang w:val="ro-RO"/>
        </w:rPr>
        <w:t xml:space="preserve">: </w:t>
      </w:r>
      <w:r w:rsidRPr="00780FBF">
        <w:rPr>
          <w:rFonts w:cs="Times New Roman"/>
          <w:i/>
          <w:iCs/>
          <w:szCs w:val="28"/>
          <w:lang w:val="ro-RO"/>
        </w:rPr>
        <w:t>Ordonanţa Guvernului nr. 19/2023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#M6</w:t>
      </w:r>
      <w:r w:rsidRPr="00780FBF">
        <w:rPr>
          <w:rFonts w:cs="Times New Roman"/>
          <w:szCs w:val="28"/>
          <w:lang w:val="ro-RO"/>
        </w:rPr>
        <w:t xml:space="preserve">: </w:t>
      </w:r>
      <w:r w:rsidRPr="00780FBF">
        <w:rPr>
          <w:rFonts w:cs="Times New Roman"/>
          <w:i/>
          <w:iCs/>
          <w:szCs w:val="28"/>
          <w:lang w:val="ro-RO"/>
        </w:rPr>
        <w:t>Ordonanţa de urgenţă a Guvernului nr. 156/2022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#M5</w:t>
      </w:r>
      <w:r w:rsidRPr="00780FBF">
        <w:rPr>
          <w:rFonts w:cs="Times New Roman"/>
          <w:szCs w:val="28"/>
          <w:lang w:val="ro-RO"/>
        </w:rPr>
        <w:t xml:space="preserve">: </w:t>
      </w:r>
      <w:r w:rsidRPr="00780FBF">
        <w:rPr>
          <w:rFonts w:cs="Times New Roman"/>
          <w:i/>
          <w:iCs/>
          <w:szCs w:val="28"/>
          <w:lang w:val="ro-RO"/>
        </w:rPr>
        <w:t>Ordonanţa de urgenţă a Guvernului nr. 152/2022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#M4</w:t>
      </w:r>
      <w:r w:rsidRPr="00780FBF">
        <w:rPr>
          <w:rFonts w:cs="Times New Roman"/>
          <w:szCs w:val="28"/>
          <w:lang w:val="ro-RO"/>
        </w:rPr>
        <w:t xml:space="preserve">: </w:t>
      </w:r>
      <w:r w:rsidRPr="00780FBF">
        <w:rPr>
          <w:rFonts w:cs="Times New Roman"/>
          <w:i/>
          <w:iCs/>
          <w:szCs w:val="28"/>
          <w:lang w:val="ro-RO"/>
        </w:rPr>
        <w:t>Legea nr. 178/2022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r w:rsidRPr="00780FBF">
        <w:rPr>
          <w:rFonts w:cs="Times New Roman"/>
          <w:szCs w:val="28"/>
          <w:lang w:val="ro-RO"/>
        </w:rPr>
        <w:t xml:space="preserve">: </w:t>
      </w:r>
      <w:r w:rsidRPr="00780FBF">
        <w:rPr>
          <w:rFonts w:cs="Times New Roman"/>
          <w:i/>
          <w:iCs/>
          <w:szCs w:val="28"/>
          <w:lang w:val="ro-RO"/>
        </w:rPr>
        <w:t>Ordonanţa de urgenţă a Guvernului nr. 124/2021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r w:rsidRPr="00780FBF">
        <w:rPr>
          <w:rFonts w:cs="Times New Roman"/>
          <w:szCs w:val="28"/>
          <w:lang w:val="ro-RO"/>
        </w:rPr>
        <w:t xml:space="preserve">: </w:t>
      </w:r>
      <w:r w:rsidRPr="00780FBF">
        <w:rPr>
          <w:rFonts w:cs="Times New Roman"/>
          <w:i/>
          <w:iCs/>
          <w:szCs w:val="28"/>
          <w:lang w:val="ro-RO"/>
        </w:rPr>
        <w:t>Legea nr. 231/2021</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b/>
          <w:bCs/>
          <w:color w:val="008000"/>
          <w:szCs w:val="28"/>
          <w:u w:val="single"/>
          <w:lang w:val="ro-RO"/>
        </w:rPr>
        <w:t>#M1</w:t>
      </w:r>
      <w:r w:rsidRPr="00780FBF">
        <w:rPr>
          <w:rFonts w:cs="Times New Roman"/>
          <w:szCs w:val="28"/>
          <w:lang w:val="ro-RO"/>
        </w:rPr>
        <w:t xml:space="preserve">: </w:t>
      </w:r>
      <w:r w:rsidRPr="00780FBF">
        <w:rPr>
          <w:rFonts w:cs="Times New Roman"/>
          <w:i/>
          <w:iCs/>
          <w:szCs w:val="28"/>
          <w:lang w:val="ro-RO"/>
        </w:rPr>
        <w:t>Ordonanţa de urgenţă a Guvernului nr. 24/2021</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80FBF">
        <w:rPr>
          <w:rFonts w:cs="Times New Roman"/>
          <w:b/>
          <w:bCs/>
          <w:i/>
          <w:iCs/>
          <w:color w:val="008000"/>
          <w:szCs w:val="28"/>
          <w:u w:val="single"/>
          <w:lang w:val="ro-RO"/>
        </w:rPr>
        <w:t>#M1</w:t>
      </w:r>
      <w:r w:rsidRPr="00780FBF">
        <w:rPr>
          <w:rFonts w:cs="Times New Roman"/>
          <w:i/>
          <w:iCs/>
          <w:szCs w:val="28"/>
          <w:lang w:val="ro-RO"/>
        </w:rPr>
        <w:t xml:space="preserve">, </w:t>
      </w:r>
      <w:r w:rsidRPr="00780FBF">
        <w:rPr>
          <w:rFonts w:cs="Times New Roman"/>
          <w:b/>
          <w:bCs/>
          <w:i/>
          <w:iCs/>
          <w:color w:val="008000"/>
          <w:szCs w:val="28"/>
          <w:u w:val="single"/>
          <w:lang w:val="ro-RO"/>
        </w:rPr>
        <w:t>#M2</w:t>
      </w:r>
      <w:r w:rsidRPr="00780FBF">
        <w:rPr>
          <w:rFonts w:cs="Times New Roman"/>
          <w:i/>
          <w:iCs/>
          <w:szCs w:val="28"/>
          <w:lang w:val="ro-RO"/>
        </w:rPr>
        <w:t xml:space="preserve"> etc.</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#CIN</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b/>
          <w:bCs/>
          <w:i/>
          <w:iCs/>
          <w:szCs w:val="28"/>
          <w:lang w:val="ro-RO"/>
        </w:rPr>
        <w:t>NOTE:</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b/>
          <w:bCs/>
          <w:i/>
          <w:iCs/>
          <w:szCs w:val="28"/>
          <w:lang w:val="ro-RO"/>
        </w:rPr>
        <w:t>1.</w:t>
      </w:r>
      <w:r w:rsidRPr="00780FBF">
        <w:rPr>
          <w:rFonts w:cs="Times New Roman"/>
          <w:i/>
          <w:iCs/>
          <w:szCs w:val="28"/>
          <w:lang w:val="ro-RO"/>
        </w:rPr>
        <w:t xml:space="preserve"> Titlul actului normativ a fost modificat conform </w:t>
      </w:r>
      <w:r w:rsidRPr="00780FBF">
        <w:rPr>
          <w:rFonts w:cs="Times New Roman"/>
          <w:i/>
          <w:iCs/>
          <w:color w:val="008000"/>
          <w:szCs w:val="28"/>
          <w:u w:val="single"/>
          <w:lang w:val="ro-RO"/>
        </w:rPr>
        <w:t>art. I</w:t>
      </w:r>
      <w:r w:rsidRPr="00780FBF">
        <w:rPr>
          <w:rFonts w:cs="Times New Roman"/>
          <w:i/>
          <w:iCs/>
          <w:szCs w:val="28"/>
          <w:lang w:val="ro-RO"/>
        </w:rPr>
        <w:t xml:space="preserve"> pct. 1 din Ordonanţa de urgenţă a Guvernului nr. 24/2021 (</w:t>
      </w:r>
      <w:r w:rsidRPr="00780FBF">
        <w:rPr>
          <w:rFonts w:cs="Times New Roman"/>
          <w:b/>
          <w:bCs/>
          <w:i/>
          <w:iCs/>
          <w:color w:val="008000"/>
          <w:szCs w:val="28"/>
          <w:u w:val="single"/>
          <w:lang w:val="ro-RO"/>
        </w:rPr>
        <w:t>#M1</w:t>
      </w:r>
      <w:r w:rsidRPr="00780FBF">
        <w:rPr>
          <w:rFonts w:cs="Times New Roman"/>
          <w:i/>
          <w:iCs/>
          <w:szCs w:val="28"/>
          <w:lang w:val="ro-RO"/>
        </w:rPr>
        <w:t>).</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b/>
          <w:bCs/>
          <w:i/>
          <w:iCs/>
          <w:szCs w:val="28"/>
          <w:lang w:val="ro-RO"/>
        </w:rPr>
        <w:t>2.</w:t>
      </w:r>
      <w:r w:rsidRPr="00780FBF">
        <w:rPr>
          <w:rFonts w:cs="Times New Roman"/>
          <w:i/>
          <w:iCs/>
          <w:szCs w:val="28"/>
          <w:lang w:val="ro-RO"/>
        </w:rPr>
        <w:t xml:space="preserve"> </w:t>
      </w:r>
      <w:r w:rsidRPr="00780FBF">
        <w:rPr>
          <w:rFonts w:cs="Times New Roman"/>
          <w:i/>
          <w:iCs/>
          <w:color w:val="008000"/>
          <w:szCs w:val="28"/>
          <w:u w:val="single"/>
          <w:lang w:val="ro-RO"/>
        </w:rPr>
        <w:t>Ordonanţa de urgenţă a Guvernului nr. 155/2020</w:t>
      </w:r>
      <w:r w:rsidRPr="00780FBF">
        <w:rPr>
          <w:rFonts w:cs="Times New Roman"/>
          <w:i/>
          <w:iCs/>
          <w:szCs w:val="28"/>
          <w:lang w:val="ro-RO"/>
        </w:rPr>
        <w:t xml:space="preserve"> a fost aprobată prin </w:t>
      </w:r>
      <w:r w:rsidRPr="00780FBF">
        <w:rPr>
          <w:rFonts w:cs="Times New Roman"/>
          <w:i/>
          <w:iCs/>
          <w:color w:val="008000"/>
          <w:szCs w:val="28"/>
          <w:u w:val="single"/>
          <w:lang w:val="ro-RO"/>
        </w:rPr>
        <w:t>Legea nr. 230/2021</w:t>
      </w:r>
      <w:r w:rsidRPr="00780FBF">
        <w:rPr>
          <w:rFonts w:cs="Times New Roman"/>
          <w:i/>
          <w:iCs/>
          <w:szCs w:val="28"/>
          <w:lang w:val="ro-RO"/>
        </w:rPr>
        <w:t>.</w:t>
      </w:r>
    </w:p>
    <w:p w:rsidR="00780FBF" w:rsidRPr="00780FBF" w:rsidRDefault="00780FBF" w:rsidP="00780FBF">
      <w:pPr>
        <w:autoSpaceDE w:val="0"/>
        <w:autoSpaceDN w:val="0"/>
        <w:adjustRightInd w:val="0"/>
        <w:spacing w:after="0" w:line="240" w:lineRule="auto"/>
        <w:rPr>
          <w:rFonts w:cs="Times New Roman"/>
          <w:i/>
          <w:iCs/>
          <w:szCs w:val="28"/>
          <w:lang w:val="ro-RO"/>
        </w:rPr>
      </w:pP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b/>
          <w:bCs/>
          <w:i/>
          <w:iCs/>
          <w:szCs w:val="28"/>
          <w:lang w:val="ro-RO"/>
        </w:rPr>
        <w:t>3.</w:t>
      </w:r>
      <w:r w:rsidRPr="00780FBF">
        <w:rPr>
          <w:rFonts w:cs="Times New Roman"/>
          <w:i/>
          <w:iCs/>
          <w:szCs w:val="28"/>
          <w:lang w:val="ro-RO"/>
        </w:rPr>
        <w:t xml:space="preserve"> A se vedea şi:</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 </w:t>
      </w:r>
      <w:r w:rsidRPr="00780FBF">
        <w:rPr>
          <w:rFonts w:cs="Times New Roman"/>
          <w:i/>
          <w:iCs/>
          <w:color w:val="008000"/>
          <w:szCs w:val="28"/>
          <w:u w:val="single"/>
          <w:lang w:val="ro-RO"/>
        </w:rPr>
        <w:t>Ordonanţa de urgenţă a Guvernului nr. 124/2021</w:t>
      </w:r>
      <w:r w:rsidRPr="00780FBF">
        <w:rPr>
          <w:rFonts w:cs="Times New Roman"/>
          <w:i/>
          <w:iCs/>
          <w:szCs w:val="28"/>
          <w:lang w:val="ro-RO"/>
        </w:rPr>
        <w:t xml:space="preserve"> (</w:t>
      </w:r>
      <w:r w:rsidRPr="00780FBF">
        <w:rPr>
          <w:rFonts w:cs="Times New Roman"/>
          <w:b/>
          <w:bCs/>
          <w:i/>
          <w:iCs/>
          <w:color w:val="008000"/>
          <w:szCs w:val="28"/>
          <w:u w:val="single"/>
          <w:lang w:val="ro-RO"/>
        </w:rPr>
        <w:t>#M3</w:t>
      </w:r>
      <w:r w:rsidRPr="00780FBF">
        <w:rPr>
          <w:rFonts w:cs="Times New Roman"/>
          <w:i/>
          <w:iCs/>
          <w:szCs w:val="28"/>
          <w:lang w:val="ro-RO"/>
        </w:rPr>
        <w:t xml:space="preserve">) privind stabilirea cadrului instituţional şi financiar pentru gestionarea fondurilor europene alocate României prin Mecanismul de redresare şi rezilienţă, precum şi pentru modificarea şi completarea </w:t>
      </w:r>
      <w:r w:rsidRPr="00780FBF">
        <w:rPr>
          <w:rFonts w:cs="Times New Roman"/>
          <w:i/>
          <w:iCs/>
          <w:color w:val="008000"/>
          <w:szCs w:val="28"/>
          <w:u w:val="single"/>
          <w:lang w:val="ro-RO"/>
        </w:rPr>
        <w:t>Ordonanţei de urgenţă a Guvernului nr. 155/2020</w:t>
      </w:r>
      <w:r w:rsidRPr="00780FBF">
        <w:rPr>
          <w:rFonts w:cs="Times New Roman"/>
          <w:i/>
          <w:iCs/>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 </w:t>
      </w:r>
      <w:r w:rsidRPr="00780FBF">
        <w:rPr>
          <w:rFonts w:cs="Times New Roman"/>
          <w:i/>
          <w:iCs/>
          <w:color w:val="008000"/>
          <w:szCs w:val="28"/>
          <w:u w:val="single"/>
          <w:lang w:val="ro-RO"/>
        </w:rPr>
        <w:t>Decizia prim-ministrului nr. 496/2021</w:t>
      </w:r>
      <w:r w:rsidRPr="00780FBF">
        <w:rPr>
          <w:rFonts w:cs="Times New Roman"/>
          <w:i/>
          <w:iCs/>
          <w:szCs w:val="28"/>
          <w:lang w:val="ro-RO"/>
        </w:rPr>
        <w:t xml:space="preserve"> privind constituirea, funcţionarea şi atribuţiile Comitetului interministerial pentru monitorizarea procesului de implementare a Planului naţional de redresare şi rezilienţă;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 </w:t>
      </w:r>
      <w:r w:rsidRPr="00780FBF">
        <w:rPr>
          <w:rFonts w:cs="Times New Roman"/>
          <w:i/>
          <w:iCs/>
          <w:color w:val="008000"/>
          <w:szCs w:val="28"/>
          <w:u w:val="single"/>
          <w:lang w:val="ro-RO"/>
        </w:rPr>
        <w:t>Ordinul</w:t>
      </w:r>
      <w:r w:rsidRPr="00780FBF">
        <w:rPr>
          <w:rFonts w:cs="Times New Roman"/>
          <w:i/>
          <w:iCs/>
          <w:szCs w:val="28"/>
          <w:lang w:val="ro-RO"/>
        </w:rPr>
        <w:t xml:space="preserve"> ministrului finanţelor şi al ministrului muncii şi solidarităţii sociale nr. 1593/1239/2021 privind constituirea comitetului de monitorizare a reformei sistemului public de pensii potrivit Planului naţional de redresare şi rezilienţă.</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Întrucât România are un buget din fonduri externe rambursabile şi nerambursabile estimat la 79,9 miliarde euro obţinut în urma negocierilor care au avut loc la nivelul Consiliului European în perioada 17 - 21 iulie 2020, buget care urmează să fie supus procedurilor de aprobare ale Parlamentului European, din care 30,4 miliarde euro sunt destinaţi instrumentului de finanţare "Mecanismul de redresare şi rezilienţă", structuraţi sub formă de granturi 13,7 miliarde euro şi sub formă de împrumuturi 16,6 miliarde euro,</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lastRenderedPageBreak/>
        <w:t xml:space="preserve">    deoarece pentru politica de coeziune a fost agreat un buget de 28,2 miliarde euro în care sunt incluse fonduri pentru politica de coeziune, inclusiv fondurile alocate prin instrumentul REACT-EU, dezvoltare regională şi pentru dezvoltarea resurselor umane, iar pentru accesarea acestora în perioada de programare 2021 - 2027 este nevoie de elaborarea acordului de parteneriat şi de negocierea şi aprobarea programelor operaţionale prin decizie a Comisiei Europene până la sfârşitul anului 2020,</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având în vedere că pentru politica agricolă şi pentru pescuit sunt alocate fonduri în valoare de 19,16 miliarde euro, din care pentru plăţi directe în agricultură fondurile alocate sunt în valoare de 12,20 miliarde euro, pentru pescuit fondurile sunt în valoare de 0,163 miliarde euro, pentru dezvoltare rurală sunt estimate fonduri în valoare de 6,8 miliarde euro, inclusiv alocarea din Fondul European Agricol pentru Dezvoltare Rurală prin instrumentul Next Generation EU, iar pentru accesarea fondurilor aferente următoarei perioade de programare este necesară elaborarea documentelor programatice care urmează a fi negociate şi aprobate împreună cu Comisia Europeană ulterior aprobării legislaţiei UE sectoriale,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deoarece pentru instrumentul de finanţare Mecanismul de redresare şi rezilienţă este necesară elaborarea Planului naţional de redresare şi rezilienţă prin care urmează a fi stabilite domeniile prioritare de investiţii ale României pentru ieşirea din criză, relansarea economică şi creşterea capacităţii de rezilienţă a României, care are fixat ca termen pentru elaborarea primului draft al planului naţional luna octombrie 2020, pentru ca mai apoi negocierile să se deruleze până în luna aprilie 2021 în vederea emiterii deciziei Comisiei Europene de aprobare a planului naţional,</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întrucât perioada de elaborare a Planului naţional de redresare şi rezilienţă este relativ scurtă, iar pentru aceasta este necesară implicarea de resurse umane specializate, astfel încât planul naţional să poată fi elaborat la termenul asumat, iar pentru proiectele de investiţii este necesară actualizarea/elaborarea de urgenţă a documentaţiilor tehnico-economice, astfel încât să poată fi contractate şi implementate până la termenul prevăzut în propunerea de Regulament al Parlamentului European şi al Consiliului de instituire a "Mecanismului de Redresare şi Rezilienţă" COM (2020) 408 final, respectiv până la data de 31 decembrie 2022 să fie contractate 70% din valoarea granturilor şi diferenţa până la data de 31 decembrie 2023,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având în vedere că Planul naţional de redresare şi rezilienţă este supus unor reguli de evaluare de către Comisia Europeană care includ: concordanţa planului naţional cu recomandările specifice de ţară din cadrul Semestrului european, contribuţia măsurilor, respectiv a intervenţiilor la tranziţia verde şi digitală, impactul economic şi social asupra statului membru, potenţialul de creştere economică şi crearea de locuri de muncă, rezonabilitatea costurilor şi a bugetului, guvernanţa internă a planului naţional, iar ulterior planul naţional este implementat prin intermediul proiectelor, proces care presupune elaborarea în paralel a documentaţiilor tehnico-economice necesare implementării acestora,</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deoarece elementele sus-menţionate vizează interesul public şi strategic, sunt o prioritate a strategiei de guvernare şi constituie o situaţie de urgenţă şi extraordinară, a cărei reglementare nu poate fi amânată, pentru a nu genera întârzieri în implementarea Mecanismului de redresare şi rezilienţă cu impact asupra gradului de absorbţie a fondurilor externe nerambursabile alocate României, se impune adoptarea de măsuri imediate pe calea ordonanţei de urgenţă.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În temeiul </w:t>
      </w:r>
      <w:r w:rsidRPr="00780FBF">
        <w:rPr>
          <w:rFonts w:cs="Times New Roman"/>
          <w:color w:val="008000"/>
          <w:szCs w:val="28"/>
          <w:u w:val="single"/>
          <w:lang w:val="ro-RO"/>
        </w:rPr>
        <w:t>art. 115</w:t>
      </w:r>
      <w:r w:rsidRPr="00780FBF">
        <w:rPr>
          <w:rFonts w:cs="Times New Roman"/>
          <w:szCs w:val="28"/>
          <w:lang w:val="ro-RO"/>
        </w:rPr>
        <w:t xml:space="preserve"> alin. (4) din Constituţia României, republicată,</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b/>
          <w:bCs/>
          <w:szCs w:val="28"/>
          <w:lang w:val="ro-RO"/>
        </w:rPr>
        <w:t>Guvernul României</w:t>
      </w:r>
      <w:r w:rsidRPr="00780FBF">
        <w:rPr>
          <w:rFonts w:cs="Times New Roman"/>
          <w:szCs w:val="28"/>
          <w:lang w:val="ro-RO"/>
        </w:rPr>
        <w:t xml:space="preserve"> adoptă prezenta ordonanţă de urgenţă.</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1</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Planul naţional de redresare şi rezilienţă al României, denumit în continuare PNRR, este documentul strategic al României care fundamentează priorităţile de reformă şi domeniile de investiţii pentru aplicarea Mecanismului de redresare şi rezilienţă - MRR la nivel naţional. Sursa de finanţare este reprezentată de fondurile alocate pentru România în cadrul </w:t>
      </w:r>
      <w:r w:rsidRPr="00780FBF">
        <w:rPr>
          <w:rFonts w:cs="Times New Roman"/>
          <w:i/>
          <w:iCs/>
          <w:color w:val="008000"/>
          <w:szCs w:val="28"/>
          <w:u w:val="single"/>
          <w:lang w:val="ro-RO"/>
        </w:rPr>
        <w:t>Mecanismului</w:t>
      </w:r>
      <w:r w:rsidRPr="00780FBF">
        <w:rPr>
          <w:rFonts w:cs="Times New Roman"/>
          <w:i/>
          <w:iCs/>
          <w:szCs w:val="28"/>
          <w:lang w:val="ro-RO"/>
        </w:rPr>
        <w:t xml:space="preserve"> de redresare şi rezilienţă, aprobat prin </w:t>
      </w:r>
      <w:r w:rsidRPr="00780FBF">
        <w:rPr>
          <w:rFonts w:cs="Times New Roman"/>
          <w:i/>
          <w:iCs/>
          <w:color w:val="008000"/>
          <w:szCs w:val="28"/>
          <w:u w:val="single"/>
          <w:lang w:val="ro-RO"/>
        </w:rPr>
        <w:t>Regulamentul (UE) 2021/241</w:t>
      </w:r>
      <w:r w:rsidRPr="00780FBF">
        <w:rPr>
          <w:rFonts w:cs="Times New Roman"/>
          <w:i/>
          <w:iCs/>
          <w:szCs w:val="28"/>
          <w:lang w:val="ro-RO"/>
        </w:rPr>
        <w:t xml:space="preserve"> al Parlamentului European şi al Consiliului. Scopul final al PNRR este să accelereze implementarea reformelor sustenabile şi a investiţiilor publice conexe, respectiv asigurarea ameliorării stării economiei naţionale după criza generată de COVID-19, creşterea economică şi crearea de locuri de muncă necesare pentru incluziunea forţei de muncă, sprijinirea tranziţiei verzi şi a celei digitale pentru promovarea creşterii durabile.</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(2) PNRR are structura stabilită conform </w:t>
      </w:r>
      <w:r w:rsidRPr="00780FBF">
        <w:rPr>
          <w:rFonts w:cs="Times New Roman"/>
          <w:i/>
          <w:iCs/>
          <w:color w:val="008000"/>
          <w:szCs w:val="28"/>
          <w:u w:val="single"/>
          <w:lang w:val="ro-RO"/>
        </w:rPr>
        <w:t>Regulamentul (UE) 2021/241</w:t>
      </w:r>
      <w:r w:rsidRPr="00780FBF">
        <w:rPr>
          <w:rFonts w:cs="Times New Roman"/>
          <w:i/>
          <w:iCs/>
          <w:szCs w:val="28"/>
          <w:lang w:val="ro-RO"/>
        </w:rPr>
        <w:t xml:space="preserve"> al Parlamentului European şi al Consiliului şi face obiectul procedurilor de negociere cu Comisia Europeană.</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(3) Guvernul aprobă prin memorandum mandatarea Ministerului Investiţiilor şi Proiectelor Europene, denumit în continuare MIPE, pentru a desfăşura procedurile de negociere cu Comisia Europeană, în </w:t>
      </w:r>
      <w:r w:rsidRPr="00780FBF">
        <w:rPr>
          <w:rFonts w:cs="Times New Roman"/>
          <w:i/>
          <w:iCs/>
          <w:szCs w:val="28"/>
          <w:lang w:val="ro-RO"/>
        </w:rPr>
        <w:lastRenderedPageBreak/>
        <w:t xml:space="preserve">vederea aprobării PNRR şi a cererii de împrumut prevăzute la </w:t>
      </w:r>
      <w:r w:rsidRPr="00780FBF">
        <w:rPr>
          <w:rFonts w:cs="Times New Roman"/>
          <w:i/>
          <w:iCs/>
          <w:color w:val="008000"/>
          <w:szCs w:val="28"/>
          <w:u w:val="single"/>
          <w:lang w:val="ro-RO"/>
        </w:rPr>
        <w:t>art. 14</w:t>
      </w:r>
      <w:r w:rsidRPr="00780FBF">
        <w:rPr>
          <w:rFonts w:cs="Times New Roman"/>
          <w:i/>
          <w:iCs/>
          <w:szCs w:val="28"/>
          <w:lang w:val="ro-RO"/>
        </w:rPr>
        <w:t xml:space="preserve"> din Regulamentul (UE) 2021/241 al Parlamentului European şi al Consiliului, şi mandatarea Ministerului Finanţelor, denumit în continuare MF, pentru a desfăşura procedurile de negociere la nivelul Consiliului Uniunii Europene.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(3^1) Procedurile de negociere prevăzute la alin. (3) sunt coordonate de către prim-ministru.</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(3^2)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(4) Proiectele de investiţii publice aferente domeniilor de investiţii care se finanţează în cadrul PNRR trebuie să respecte cumulativ următoarele condiţii:</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a) să fie proiecte mature, cu angajamente ferme din partea beneficiarilor finali de încheiere a contractelor de achiziţie publică şi/sau a contractelor sectoriale, după caz, până la sfârşitul anului 2022, pentru minimum 70% din valoarea alocată, respectiv la sfârşitul anului 2023, pentru restul valorii alocate;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b) să contribuie la ameliorarea stării economice şi la creşterea capacităţii de rezilienţă a României;</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b^1) *** Abrogată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c) *** Abrogată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d) să respecte condiţiile prevăzute pentru finanţare în cadrul PNRR;</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e) să respecte cerinţele prevăzute de Mecanismul de redresare şi rezilienţă;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f) să aibă un impact semnificativ pentru dezvoltarea economică şi/sau, după caz, la nivelul regiunilor de dezvoltare ale României ori la nivelul autorităţilor locale, ţinând cont şi de Strategia naţională pentru dezvoltare durabilă a României 2030.</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(5) Contractarea împrumutului astfel cum rezultă din valoarea costurilor totale estimate ale PNRR prevăzută la alin. (3) se face cu respectarea legislaţiei în vigoare privind datoria publică, obligaţiile de rambursare fiind stabilite în sarcina MF, fără a fi transferate ministerelor sau autorităţilor/autorităţilor locale coordonatoare de reforme, care vor primi finanţare totală în conformitate cu acordurile de finanţare.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2</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(2) *** Abrogat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3</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Beneficiarii finali pot derula procedurile de atribuire a contractelor de execuţie lucrări, asistenţă tehnică, dirigenţie de şantier şi a altor categorii de contracte necesare implementării proiectelor de investiţii publice şi pot încheia contractele mai sus stipulate, înainte de aprobarea finanţării proiectului din PNRR. Proiectele vor fi considerate eligibile dacă procedurile de achiziţie publică pentru atribuirea contractelor de execuţie lucrări, asistenţă tehnică, dirigenţie de şantier şi a altor categorii de contracte necesare implementării proiectelor se află în desfăşurare sau au lucrările de execuţie începute, dar nefinalizate.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(2)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(3) După aprobarea PNRR potrivit procedurilor la nivel european, MIPE încheie, în termen de maximum 90 de zile, acorduri de finanţare pentru implementarea reformelor şi/sau investiţiilor sau emite decizii/ordine de finanţare, în limita bugetelor aprobate pentru fiecare domeniu al reformelor şi/sau investiţiilor cu coordonatorii de reforme şi/sau investiţii, prevăzute în PNRR.</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(4) Beneficiarii finali de fonduri din PNRR pot încheia contracte de achiziţie publică/sectoriale, după caz, pentru proiectele de infrastructură finanţate din PNRR, atât înainte, cât şi după încheierea contractelor de finanţare/acordurilor de finanţare.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(5)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4*)</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lastRenderedPageBreak/>
        <w:t xml:space="preserve">    (1) Pentru elaborarea, negocierea, aprobarea şi implementarea PNRR, funcţionează în cadrul Ministerului Investiţiilor şi Proiectelor Europene o structură de specialitate, conform </w:t>
      </w:r>
      <w:r w:rsidRPr="00780FBF">
        <w:rPr>
          <w:rFonts w:cs="Times New Roman"/>
          <w:i/>
          <w:iCs/>
          <w:color w:val="008000"/>
          <w:szCs w:val="28"/>
          <w:u w:val="single"/>
          <w:lang w:val="ro-RO"/>
        </w:rPr>
        <w:t>Hotărârii Guvernului nr. 52/2018</w:t>
      </w:r>
      <w:r w:rsidRPr="00780FBF">
        <w:rPr>
          <w:rFonts w:cs="Times New Roman"/>
          <w:i/>
          <w:iCs/>
          <w:szCs w:val="28"/>
          <w:lang w:val="ro-RO"/>
        </w:rPr>
        <w:t xml:space="preserve"> privind organizarea şi funcţionarea Ministerului Fondurilor Europene, cu modificările şi completările ulterioare.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(1^1) Pentru elaborarea şi implementarea componentei PNRR şi a altor proiecte cu finanţări europene şi naţionale funcţionează în cadrul Ministerului Energiei o structură de specialitate, conform </w:t>
      </w:r>
      <w:r w:rsidRPr="00780FBF">
        <w:rPr>
          <w:rFonts w:cs="Times New Roman"/>
          <w:i/>
          <w:iCs/>
          <w:color w:val="008000"/>
          <w:szCs w:val="28"/>
          <w:u w:val="single"/>
          <w:lang w:val="ro-RO"/>
        </w:rPr>
        <w:t>Hotărârii Guvernului nr. 316/2021</w:t>
      </w:r>
      <w:r w:rsidRPr="00780FBF">
        <w:rPr>
          <w:rFonts w:cs="Times New Roman"/>
          <w:i/>
          <w:iCs/>
          <w:szCs w:val="28"/>
          <w:lang w:val="ro-RO"/>
        </w:rPr>
        <w:t xml:space="preserve"> privind organizarea şi funcţionarea Ministerului Energiei, cu modificările ulterioare.</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(2) Personalul prevăzut la alin. (1) şi (1^1) beneficiază de drepturile prevăzute de </w:t>
      </w:r>
      <w:r w:rsidRPr="00780FBF">
        <w:rPr>
          <w:rFonts w:cs="Times New Roman"/>
          <w:i/>
          <w:iCs/>
          <w:color w:val="008000"/>
          <w:szCs w:val="28"/>
          <w:u w:val="single"/>
          <w:lang w:val="ro-RO"/>
        </w:rPr>
        <w:t>Legea nr. 490/2004</w:t>
      </w:r>
      <w:r w:rsidRPr="00780FBF">
        <w:rPr>
          <w:rFonts w:cs="Times New Roman"/>
          <w:i/>
          <w:iCs/>
          <w:szCs w:val="28"/>
          <w:lang w:val="ro-RO"/>
        </w:rPr>
        <w:t xml:space="preserve"> privind stimularea financiară a personalului care gestionează fonduri comunitare, cu modificările şi completările ulterioare, fiind aplicabile prevederile </w:t>
      </w:r>
      <w:r w:rsidRPr="00780FBF">
        <w:rPr>
          <w:rFonts w:cs="Times New Roman"/>
          <w:i/>
          <w:iCs/>
          <w:color w:val="008000"/>
          <w:szCs w:val="28"/>
          <w:u w:val="single"/>
          <w:lang w:val="ro-RO"/>
        </w:rPr>
        <w:t>art. 17</w:t>
      </w:r>
      <w:r w:rsidRPr="00780FBF">
        <w:rPr>
          <w:rFonts w:cs="Times New Roman"/>
          <w:i/>
          <w:iCs/>
          <w:szCs w:val="28"/>
          <w:lang w:val="ro-RO"/>
        </w:rPr>
        <w:t xml:space="preserve"> din Legea-cadru nr. 153/2017 privind salarizarea personalului plătit din fonduri publice, cu modificările şi completările ulterioare, în limita cheltuielilor de personal aprobate prin legea bugetului de stat.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(3) Pentru derularea procedurilor de auditare a PNRR funcţionează în cadrul Autorităţii de Audit o structură de specialitate. Atribuţiile şi numărul de personal se stabilesc potrivit reglementărilor proprii ale Curţii de Conturi.</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#M4</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(3^1) Pentru verificarea în vederea asigurării elaborării şi implementării măsurilor de ajutor de stat de minimis din PNRR şi alte fonduri europene, precum şi a conformităţii reglementărilor şi politicilor prevăzute în PNRR cu regulile din domeniul ajutorului de stat naţionale şi europene, funcţionează în cadrul Consiliului Concurenţei o structură de specialitate.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(4) Personalul prevăzut la alin. (3) beneficiază de drepturile prevăzute de </w:t>
      </w:r>
      <w:r w:rsidRPr="00780FBF">
        <w:rPr>
          <w:rFonts w:cs="Times New Roman"/>
          <w:i/>
          <w:iCs/>
          <w:color w:val="008000"/>
          <w:szCs w:val="28"/>
          <w:u w:val="single"/>
          <w:lang w:val="ro-RO"/>
        </w:rPr>
        <w:t>Legea nr. 490/2004</w:t>
      </w:r>
      <w:r w:rsidRPr="00780FBF">
        <w:rPr>
          <w:rFonts w:cs="Times New Roman"/>
          <w:i/>
          <w:iCs/>
          <w:szCs w:val="28"/>
          <w:lang w:val="ro-RO"/>
        </w:rPr>
        <w:t xml:space="preserve"> privind stimularea financiară a personalului care gestionează fonduri comunitare, cu modificările şi completările ulterioare, fiind aplicabile prevederile </w:t>
      </w:r>
      <w:r w:rsidRPr="00780FBF">
        <w:rPr>
          <w:rFonts w:cs="Times New Roman"/>
          <w:i/>
          <w:iCs/>
          <w:color w:val="008000"/>
          <w:szCs w:val="28"/>
          <w:u w:val="single"/>
          <w:lang w:val="ro-RO"/>
        </w:rPr>
        <w:t>art. 17</w:t>
      </w:r>
      <w:r w:rsidRPr="00780FBF">
        <w:rPr>
          <w:rFonts w:cs="Times New Roman"/>
          <w:i/>
          <w:iCs/>
          <w:szCs w:val="28"/>
          <w:lang w:val="ro-RO"/>
        </w:rPr>
        <w:t xml:space="preserve"> din Legea-cadru nr. 153/2017 privind salarizarea personalului plătit din fonduri publice, cu modificările şi completările ulterioare, în limita cheltuielilor de personal aprobate prin legea bugetului de stat.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#M4</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(4^1) Personalul de specialitate prevăzut la alin. (3^1), care derulează activităţi în vederea asigurării conformităţii reglementărilor, politicilor şi măsurilor finanţate din PNRR şi alte programe cu finanţare europeană cu regulile naţionale şi europene din domeniul ajutorului de stat, beneficiază de drepturile prevăzute de </w:t>
      </w:r>
      <w:r w:rsidRPr="00780FBF">
        <w:rPr>
          <w:rFonts w:cs="Times New Roman"/>
          <w:i/>
          <w:iCs/>
          <w:color w:val="008000"/>
          <w:szCs w:val="28"/>
          <w:u w:val="single"/>
          <w:lang w:val="ro-RO"/>
        </w:rPr>
        <w:t>Legea nr. 490/2004</w:t>
      </w:r>
      <w:r w:rsidRPr="00780FBF">
        <w:rPr>
          <w:rFonts w:cs="Times New Roman"/>
          <w:i/>
          <w:iCs/>
          <w:szCs w:val="28"/>
          <w:lang w:val="ro-RO"/>
        </w:rPr>
        <w:t xml:space="preserve"> privind stimularea financiară a personalului care gestionează fonduri comunitare, cu modificările şi completările ulterioare, fiind aplicabile prevederile </w:t>
      </w:r>
      <w:r w:rsidRPr="00780FBF">
        <w:rPr>
          <w:rFonts w:cs="Times New Roman"/>
          <w:i/>
          <w:iCs/>
          <w:color w:val="008000"/>
          <w:szCs w:val="28"/>
          <w:u w:val="single"/>
          <w:lang w:val="ro-RO"/>
        </w:rPr>
        <w:t>art. 17</w:t>
      </w:r>
      <w:r w:rsidRPr="00780FBF">
        <w:rPr>
          <w:rFonts w:cs="Times New Roman"/>
          <w:i/>
          <w:iCs/>
          <w:szCs w:val="28"/>
          <w:lang w:val="ro-RO"/>
        </w:rPr>
        <w:t xml:space="preserve"> din Legea-cadru nr. 153/2017 privind salarizarea personalului plătit din fonduri publice, cu modificările şi completările ulterioare, în limita cheltuielilor de personal aprobate prin legea bugetului de stat.</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(4^2) De drepturile prevăzute la alin. (4^1) beneficiază şi personalul din cadrul Consiliului Concurenţei care exercită în timpul unei luni, în baza fişei postului, atribuţii privind verificarea conformităţii reglementărilor, politicilor şi măsurilor prevăzute în PNRR cu regulile naţionale şi europene din domeniul concurenţei, precum şi atribuţii de reprezentare în faţa instanţelor naţionale sau alte atribuţii suport sau specifice implementării PNRR.</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(4^3) În vederea aplicării prevederilor alin. (3^1), (4^1) şi (4^2), prin derogare de la prevederile </w:t>
      </w:r>
      <w:r w:rsidRPr="00780FBF">
        <w:rPr>
          <w:rFonts w:cs="Times New Roman"/>
          <w:i/>
          <w:iCs/>
          <w:color w:val="008000"/>
          <w:szCs w:val="28"/>
          <w:u w:val="single"/>
          <w:lang w:val="ro-RO"/>
        </w:rPr>
        <w:t>art. 17</w:t>
      </w:r>
      <w:r w:rsidRPr="00780FBF">
        <w:rPr>
          <w:rFonts w:cs="Times New Roman"/>
          <w:i/>
          <w:iCs/>
          <w:szCs w:val="28"/>
          <w:lang w:val="ro-RO"/>
        </w:rPr>
        <w:t xml:space="preserve"> alin. (3) din Legea-cadru nr. 153/2017, cu modificările şi completările ulterioare, Consiliul Concurenţei, în calitate de autoritate autonomă, elaborează propriile criterii de acordare a majorării salariilor de bază, aprobate prin ordin al preşedintelui Consiliului Concurenţei.</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(4^4) Personalul de specialitate din cadrul Comisiei Naţionale de Strategie şi Prognoză, care derulează activităţi în vederea realizării analizei impactului macroeconomic al reformelor şi investiţiilor, în baza nominalizării prin act administrativ emis de conducătorul instituţiei/în cadrul unei structuri de specialitate, după caz, beneficiază de drepturile prevăzute de </w:t>
      </w:r>
      <w:r w:rsidRPr="00780FBF">
        <w:rPr>
          <w:rFonts w:cs="Times New Roman"/>
          <w:i/>
          <w:iCs/>
          <w:color w:val="008000"/>
          <w:szCs w:val="28"/>
          <w:u w:val="single"/>
          <w:lang w:val="ro-RO"/>
        </w:rPr>
        <w:t>Legea nr. 490/2004</w:t>
      </w:r>
      <w:r w:rsidRPr="00780FBF">
        <w:rPr>
          <w:rFonts w:cs="Times New Roman"/>
          <w:i/>
          <w:iCs/>
          <w:szCs w:val="28"/>
          <w:lang w:val="ro-RO"/>
        </w:rPr>
        <w:t xml:space="preserve">, cu modificările şi completările ulterioare, fiind aplicabile prevederile </w:t>
      </w:r>
      <w:r w:rsidRPr="00780FBF">
        <w:rPr>
          <w:rFonts w:cs="Times New Roman"/>
          <w:i/>
          <w:iCs/>
          <w:color w:val="008000"/>
          <w:szCs w:val="28"/>
          <w:u w:val="single"/>
          <w:lang w:val="ro-RO"/>
        </w:rPr>
        <w:t>art. 17</w:t>
      </w:r>
      <w:r w:rsidRPr="00780FBF">
        <w:rPr>
          <w:rFonts w:cs="Times New Roman"/>
          <w:i/>
          <w:iCs/>
          <w:szCs w:val="28"/>
          <w:lang w:val="ro-RO"/>
        </w:rPr>
        <w:t xml:space="preserve"> din Legea-cadru nr. 153/2017, cu modificările şi completările ulterioare, în limita cheltuielilor de personal aprobate prin legea bugetului de stat.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(5) Prevederile </w:t>
      </w:r>
      <w:r w:rsidRPr="00780FBF">
        <w:rPr>
          <w:rFonts w:cs="Times New Roman"/>
          <w:i/>
          <w:iCs/>
          <w:color w:val="008000"/>
          <w:szCs w:val="28"/>
          <w:u w:val="single"/>
          <w:lang w:val="ro-RO"/>
        </w:rPr>
        <w:t>Hotărârii Guvernului nr. 29/2018</w:t>
      </w:r>
      <w:r w:rsidRPr="00780FBF">
        <w:rPr>
          <w:rFonts w:cs="Times New Roman"/>
          <w:i/>
          <w:iCs/>
          <w:szCs w:val="28"/>
          <w:lang w:val="ro-RO"/>
        </w:rPr>
        <w:t xml:space="preserve"> pentru stabilirea criteriilor pe baza cărora se aplică majorarea prevăzută la </w:t>
      </w:r>
      <w:r w:rsidRPr="00780FBF">
        <w:rPr>
          <w:rFonts w:cs="Times New Roman"/>
          <w:i/>
          <w:iCs/>
          <w:color w:val="008000"/>
          <w:szCs w:val="28"/>
          <w:u w:val="single"/>
          <w:lang w:val="ro-RO"/>
        </w:rPr>
        <w:t>art. 17</w:t>
      </w:r>
      <w:r w:rsidRPr="00780FBF">
        <w:rPr>
          <w:rFonts w:cs="Times New Roman"/>
          <w:i/>
          <w:iCs/>
          <w:szCs w:val="28"/>
          <w:lang w:val="ro-RO"/>
        </w:rPr>
        <w:t xml:space="preserve"> alin. (1) şi (2) din Legea-cadru nr. 153/2017 privind salarizarea personalului plătit din fonduri publice se aplică corespunzător şi pentru personalul prevăzut la alin. (1), (1^1) şi (3).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#CIN</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lastRenderedPageBreak/>
        <w:t xml:space="preserve">    </w:t>
      </w:r>
      <w:r w:rsidRPr="00780FBF">
        <w:rPr>
          <w:rFonts w:cs="Times New Roman"/>
          <w:b/>
          <w:bCs/>
          <w:i/>
          <w:iCs/>
          <w:szCs w:val="28"/>
          <w:lang w:val="ro-RO"/>
        </w:rPr>
        <w:t>*)</w:t>
      </w:r>
      <w:r w:rsidRPr="00780FBF">
        <w:rPr>
          <w:rFonts w:cs="Times New Roman"/>
          <w:i/>
          <w:iCs/>
          <w:szCs w:val="28"/>
          <w:lang w:val="ro-RO"/>
        </w:rPr>
        <w:t xml:space="preserve"> Conform </w:t>
      </w:r>
      <w:r w:rsidRPr="00780FBF">
        <w:rPr>
          <w:rFonts w:cs="Times New Roman"/>
          <w:i/>
          <w:iCs/>
          <w:color w:val="008000"/>
          <w:szCs w:val="28"/>
          <w:u w:val="single"/>
          <w:lang w:val="ro-RO"/>
        </w:rPr>
        <w:t>art. 17</w:t>
      </w:r>
      <w:r w:rsidRPr="00780FBF">
        <w:rPr>
          <w:rFonts w:cs="Times New Roman"/>
          <w:i/>
          <w:iCs/>
          <w:szCs w:val="28"/>
          <w:lang w:val="ro-RO"/>
        </w:rPr>
        <w:t xml:space="preserve"> alin. (2^1) din Legea-cadru nr. 153/2017, cu modificările ulterioare, personalul prevăzut la </w:t>
      </w:r>
      <w:r w:rsidRPr="00780FBF">
        <w:rPr>
          <w:rFonts w:cs="Times New Roman"/>
          <w:i/>
          <w:iCs/>
          <w:color w:val="008000"/>
          <w:szCs w:val="28"/>
          <w:u w:val="single"/>
          <w:lang w:val="ro-RO"/>
        </w:rPr>
        <w:t>art. 4</w:t>
      </w:r>
      <w:r w:rsidRPr="00780FBF">
        <w:rPr>
          <w:rFonts w:cs="Times New Roman"/>
          <w:i/>
          <w:iCs/>
          <w:szCs w:val="28"/>
          <w:lang w:val="ro-RO"/>
        </w:rPr>
        <w:t xml:space="preserve"> alin. (1) din Ordonanţa de urgenţă a Guvernului nr. 155/2020 beneficiază de majorarea salariului de bază, soldei de funcţie/salariului de funcţie, indemnizaţiei de încadrare cu până la 50%.</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#M4</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5*)</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(1) La nivelul coordonatorilor de reforme şi/sau investiţii, agenţiilor/structurilor de implementare se organizează, în limita cheltuielilor de personal aprobate prin legea bugetului de stat, unităţi ale căror atribuţii vor fi stabilite prin hotărâre a Guvernului, respectiv act administrativ intern, în funcţie de forma de organizare aleasă pentru unitate. Dimensionarea personalului se face cu respectarea principiilor de gestionare eficientă a fondurilor alocate. Personalul care desfăşoară activităţi în cadrul autorităţilor publice cu rol în gestionarea şi/sau implementarea fondurilor europene, inclusiv în cadrul coordonatorilor de reforme şi/sau investiţii, beneficiază de prevederile </w:t>
      </w:r>
      <w:r w:rsidRPr="00780FBF">
        <w:rPr>
          <w:rFonts w:cs="Times New Roman"/>
          <w:i/>
          <w:iCs/>
          <w:color w:val="008000"/>
          <w:szCs w:val="28"/>
          <w:u w:val="single"/>
          <w:lang w:val="ro-RO"/>
        </w:rPr>
        <w:t>art. 17</w:t>
      </w:r>
      <w:r w:rsidRPr="00780FBF">
        <w:rPr>
          <w:rFonts w:cs="Times New Roman"/>
          <w:i/>
          <w:iCs/>
          <w:szCs w:val="28"/>
          <w:lang w:val="ro-RO"/>
        </w:rPr>
        <w:t xml:space="preserve"> din Legea-cadru nr. 153/2017, cu modificările şi completările ulterioare.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#M7</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(1^1) Personalului prevăzut la alin. (1) îi sunt aplicabile dispoziţiile </w:t>
      </w:r>
      <w:r w:rsidRPr="00780FBF">
        <w:rPr>
          <w:rFonts w:cs="Times New Roman"/>
          <w:i/>
          <w:iCs/>
          <w:color w:val="008000"/>
          <w:szCs w:val="28"/>
          <w:u w:val="single"/>
          <w:lang w:val="ro-RO"/>
        </w:rPr>
        <w:t>Hotărârii Guvernului nr. 29/2018</w:t>
      </w:r>
      <w:r w:rsidRPr="00780FBF">
        <w:rPr>
          <w:rFonts w:cs="Times New Roman"/>
          <w:i/>
          <w:iCs/>
          <w:szCs w:val="28"/>
          <w:lang w:val="ro-RO"/>
        </w:rPr>
        <w:t xml:space="preserve"> pentru stabilirea criteriilor pe baza cărora se aplică majorarea prevăzută la </w:t>
      </w:r>
      <w:r w:rsidRPr="00780FBF">
        <w:rPr>
          <w:rFonts w:cs="Times New Roman"/>
          <w:i/>
          <w:iCs/>
          <w:color w:val="008000"/>
          <w:szCs w:val="28"/>
          <w:u w:val="single"/>
          <w:lang w:val="ro-RO"/>
        </w:rPr>
        <w:t>art. 17</w:t>
      </w:r>
      <w:r w:rsidRPr="00780FBF">
        <w:rPr>
          <w:rFonts w:cs="Times New Roman"/>
          <w:i/>
          <w:iCs/>
          <w:szCs w:val="28"/>
          <w:lang w:val="ro-RO"/>
        </w:rPr>
        <w:t xml:space="preserve"> alin. (1) - (2^1) din Legea-cadru nr. 153/2017 privind salarizarea personalului plătit din fonduri publice, cu modificările şi completările ulterioare.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(2)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#CIN</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w:t>
      </w:r>
      <w:r w:rsidRPr="00780FBF">
        <w:rPr>
          <w:rFonts w:cs="Times New Roman"/>
          <w:b/>
          <w:bCs/>
          <w:i/>
          <w:iCs/>
          <w:szCs w:val="28"/>
          <w:lang w:val="ro-RO"/>
        </w:rPr>
        <w:t>*)</w:t>
      </w:r>
      <w:r w:rsidRPr="00780FBF">
        <w:rPr>
          <w:rFonts w:cs="Times New Roman"/>
          <w:i/>
          <w:iCs/>
          <w:szCs w:val="28"/>
          <w:lang w:val="ro-RO"/>
        </w:rPr>
        <w:t xml:space="preserve"> Conform </w:t>
      </w:r>
      <w:r w:rsidRPr="00780FBF">
        <w:rPr>
          <w:rFonts w:cs="Times New Roman"/>
          <w:i/>
          <w:iCs/>
          <w:color w:val="008000"/>
          <w:szCs w:val="28"/>
          <w:u w:val="single"/>
          <w:lang w:val="ro-RO"/>
        </w:rPr>
        <w:t>art. 17</w:t>
      </w:r>
      <w:r w:rsidRPr="00780FBF">
        <w:rPr>
          <w:rFonts w:cs="Times New Roman"/>
          <w:i/>
          <w:iCs/>
          <w:szCs w:val="28"/>
          <w:lang w:val="ro-RO"/>
        </w:rPr>
        <w:t xml:space="preserve"> alin. (2^1) din Legea-cadru nr. 153/2017, cu modificările ulterioare, personalul prevăzut la </w:t>
      </w:r>
      <w:r w:rsidRPr="00780FBF">
        <w:rPr>
          <w:rFonts w:cs="Times New Roman"/>
          <w:i/>
          <w:iCs/>
          <w:color w:val="008000"/>
          <w:szCs w:val="28"/>
          <w:u w:val="single"/>
          <w:lang w:val="ro-RO"/>
        </w:rPr>
        <w:t>art. 5</w:t>
      </w:r>
      <w:r w:rsidRPr="00780FBF">
        <w:rPr>
          <w:rFonts w:cs="Times New Roman"/>
          <w:i/>
          <w:iCs/>
          <w:szCs w:val="28"/>
          <w:lang w:val="ro-RO"/>
        </w:rPr>
        <w:t xml:space="preserve"> alin. (1) din Ordonanţa de urgenţă a Guvernului nr. 155/2020 beneficiază de majorarea salariului de bază, soldei de funcţie/salariului de funcţie, indemnizaţiei de încadrare cu până la 50%.</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6*)</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La nivelul beneficiarilor de fonduri din PNRR se pot constitui unităţi de implementare şi monitorizare a proiectelor, prin decizie a conducătorului unităţii în cadrul căreia funcţionează unitatea de implementare şi monitorizare. Dimensionarea personalului necesar gestionării proiectelor aferente PNRR are loc în funcţie de evoluţia etapelor de implementare a acestora cu respectarea principiilor de gestionare eficientă a fondurilor alocate. Personalul care desfăşoară activităţi în cadrul unităţilor de implementare şi monitorizare a proiectelor, din cadrul beneficiarilor instituţii publice, beneficiază de majorarea prevăzută la </w:t>
      </w:r>
      <w:r w:rsidRPr="00780FBF">
        <w:rPr>
          <w:rFonts w:cs="Times New Roman"/>
          <w:i/>
          <w:iCs/>
          <w:color w:val="008000"/>
          <w:szCs w:val="28"/>
          <w:u w:val="single"/>
          <w:lang w:val="ro-RO"/>
        </w:rPr>
        <w:t>art. 16</w:t>
      </w:r>
      <w:r w:rsidRPr="00780FBF">
        <w:rPr>
          <w:rFonts w:cs="Times New Roman"/>
          <w:i/>
          <w:iCs/>
          <w:szCs w:val="28"/>
          <w:lang w:val="ro-RO"/>
        </w:rPr>
        <w:t xml:space="preserve"> din Legea-cadru nr. 153/2017, cu modificările şi completările ulterioare.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(2)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#CIN</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b/>
          <w:bCs/>
          <w:i/>
          <w:iCs/>
          <w:szCs w:val="28"/>
          <w:lang w:val="ro-RO"/>
        </w:rPr>
        <w:t>*)</w:t>
      </w:r>
      <w:r w:rsidRPr="00780FBF">
        <w:rPr>
          <w:rFonts w:cs="Times New Roman"/>
          <w:i/>
          <w:iCs/>
          <w:szCs w:val="28"/>
          <w:lang w:val="ro-RO"/>
        </w:rPr>
        <w:t xml:space="preserve"> Conform </w:t>
      </w:r>
      <w:r w:rsidRPr="00780FBF">
        <w:rPr>
          <w:rFonts w:cs="Times New Roman"/>
          <w:i/>
          <w:iCs/>
          <w:color w:val="008000"/>
          <w:szCs w:val="28"/>
          <w:u w:val="single"/>
          <w:lang w:val="ro-RO"/>
        </w:rPr>
        <w:t>art. 16</w:t>
      </w:r>
      <w:r w:rsidRPr="00780FBF">
        <w:rPr>
          <w:rFonts w:cs="Times New Roman"/>
          <w:i/>
          <w:iCs/>
          <w:szCs w:val="28"/>
          <w:lang w:val="ro-RO"/>
        </w:rPr>
        <w:t xml:space="preserve"> alin. (1) din Legea-cadru nr. 153/2017, cu modificările ulterioare, personalul implicat în implementarea Mecanismului de redresare şi rezilienţă prevăzut la </w:t>
      </w:r>
      <w:r w:rsidRPr="00780FBF">
        <w:rPr>
          <w:rFonts w:cs="Times New Roman"/>
          <w:i/>
          <w:iCs/>
          <w:color w:val="008000"/>
          <w:szCs w:val="28"/>
          <w:u w:val="single"/>
          <w:lang w:val="ro-RO"/>
        </w:rPr>
        <w:t>art. 6</w:t>
      </w:r>
      <w:r w:rsidRPr="00780FBF">
        <w:rPr>
          <w:rFonts w:cs="Times New Roman"/>
          <w:i/>
          <w:iCs/>
          <w:szCs w:val="28"/>
          <w:lang w:val="ro-RO"/>
        </w:rPr>
        <w:t xml:space="preserve"> din Ordonanţa de urgenţă a Guvernului nr. 155/2020 beneficiază de majorarea salariilor de bază, soldelor de funcţie/salariilor de funcţie, indemnizaţiilor de încadrare cu până la 50%, indiferent de numărul de proiecte în care este implicat. Această majorare se aplică proporţional cu timpul efectiv alocat activităţilor pentru fiecare proiect.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Conform art. 16 alin. (2^1) din Legea-cadru nr. 153/2017, cu modificările ulterioare, prin excepţie de la prevederile </w:t>
      </w:r>
      <w:r w:rsidRPr="00780FBF">
        <w:rPr>
          <w:rFonts w:cs="Times New Roman"/>
          <w:i/>
          <w:iCs/>
          <w:color w:val="008000"/>
          <w:szCs w:val="28"/>
          <w:u w:val="single"/>
          <w:lang w:val="ro-RO"/>
        </w:rPr>
        <w:t>art. 11</w:t>
      </w:r>
      <w:r w:rsidRPr="00780FBF">
        <w:rPr>
          <w:rFonts w:cs="Times New Roman"/>
          <w:i/>
          <w:iCs/>
          <w:szCs w:val="28"/>
          <w:lang w:val="ro-RO"/>
        </w:rPr>
        <w:t xml:space="preserve"> alin. (4) din Legea-cadru nr. 153/2017, pentru personalul implicat în implementarea Mecanismului de redresare şi rezilienţă prevăzut la </w:t>
      </w:r>
      <w:r w:rsidRPr="00780FBF">
        <w:rPr>
          <w:rFonts w:cs="Times New Roman"/>
          <w:i/>
          <w:iCs/>
          <w:color w:val="008000"/>
          <w:szCs w:val="28"/>
          <w:u w:val="single"/>
          <w:lang w:val="ro-RO"/>
        </w:rPr>
        <w:t>art. 6</w:t>
      </w:r>
      <w:r w:rsidRPr="00780FBF">
        <w:rPr>
          <w:rFonts w:cs="Times New Roman"/>
          <w:i/>
          <w:iCs/>
          <w:szCs w:val="28"/>
          <w:lang w:val="ro-RO"/>
        </w:rPr>
        <w:t xml:space="preserve"> din Ordonanţa de urgenţă a Guvernului nr. 155/2020, nivelul veniturilor salariale, majorate potrivit art. 16 alin. (1) din Legea-cadru nr. 153/2017, nu poate depăşi nivelul indemnizaţiei lunare a funcţiei de viceprimar, vicepreşedinte al consiliului judeţean sau a viceprimarului municipiului Bucureşti, după caz, corespunzător nivelului de organizare: comună, oraş, municipiu, sectoarele municipiului Bucureşti, Primăria Municipiului Bucureşti, majorată potrivit art. 16 alin. (2) din Legea-cadru nr. 153/2017, în limita bugetului aprobat cu această destinaţie.</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ART. 7</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(1) La emiterea autorizaţiilor de construire în baza </w:t>
      </w:r>
      <w:r w:rsidRPr="00780FBF">
        <w:rPr>
          <w:rFonts w:cs="Times New Roman"/>
          <w:color w:val="008000"/>
          <w:szCs w:val="28"/>
          <w:u w:val="single"/>
          <w:lang w:val="ro-RO"/>
        </w:rPr>
        <w:t>Legii nr. 50/1991</w:t>
      </w:r>
      <w:r w:rsidRPr="00780FBF">
        <w:rPr>
          <w:rFonts w:cs="Times New Roman"/>
          <w:szCs w:val="28"/>
          <w:lang w:val="ro-RO"/>
        </w:rPr>
        <w:t xml:space="preserve"> privind autorizarea executării lucrărilor de construcţii, republicată, cu modificările şi completările ulterioare, pentru proiectele cu finanţare </w:t>
      </w:r>
      <w:r w:rsidRPr="00780FBF">
        <w:rPr>
          <w:rFonts w:cs="Times New Roman"/>
          <w:szCs w:val="28"/>
          <w:lang w:val="ro-RO"/>
        </w:rPr>
        <w:lastRenderedPageBreak/>
        <w:t>din fonduri externe nerambursabile, solicitanţii autorizaţiilor de construire au obligaţia de a prezenta dovada exproprierii terenurilor şi/sau, după caz, a construcţiilor, în condiţiile prevăzute de lege.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(2) Proiectele de infrastructură pentru compensarea deficitului de umiditate din sol în vederea combaterii riscului de secetă, combaterea eroziunii solului de suprafaţă şi de adâncime, drenare şi sisteme de eliminare a excesului de apă din sol cuprinse în PNRR referitor la îmbunătăţirile funciare declarate de utilitate publică sunt supuse prevederilor </w:t>
      </w:r>
      <w:r w:rsidRPr="00780FBF">
        <w:rPr>
          <w:rFonts w:cs="Times New Roman"/>
          <w:color w:val="008000"/>
          <w:szCs w:val="28"/>
          <w:u w:val="single"/>
          <w:lang w:val="ro-RO"/>
        </w:rPr>
        <w:t>Legii nr. 255/2010</w:t>
      </w:r>
      <w:r w:rsidRPr="00780FBF">
        <w:rPr>
          <w:rFonts w:cs="Times New Roman"/>
          <w:szCs w:val="28"/>
          <w:lang w:val="ro-RO"/>
        </w:rPr>
        <w:t xml:space="preserve"> privind exproprierea pentru cauza de utilitate publică, necesară realizării unor obiective de interes naţional, judeţean şi local, cu modificările şi completările ulterioare.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#M2</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7^1</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Se constituie Comitetul interministerial de coordonare a PNRR, coordonat de un preşedinte şi un vicepreşedinte, prim-ministrul, respectiv ministrul investiţiilor şi proiectelor europene, care va avea în componenţă MIPE, MF, coordonatorii de reformă.</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(2) La şedinţele Comitetului interministerial de coordonare a PNRR vor avea posibilitatea să participe ca invitaţi senatori şi deputaţi, precum şi preşedinţii comisiilor de afaceri europene ale Parlamentului, precum şi reprezentanţi ai autorităţilor publice locale şi judeţene, corespunzător subiectelor supuse dezbaterii.</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(3) Comitetul interministerial de coordonare a PNRR va avea secretariatul asigurat de către structura de specialitate din cadrul MIPE şi se va întruni trimestrial sau ori de câte ori este nevoie. Comitetul va avea menirea de a examina progresul în implementarea investiţiilor şi reformelor şi de a iniţia eventualele măsuri necesare în cazul constatării unor întârzieri majore sau în cazul în care se constată necesitatea reevaluării unor obiective. Totodată, la nivelul comitetului se vor pune în discuţie delimitările de finanţare între PNRR şi fondurile structurale şi de investiţii europene (FESI).</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 MIPE supune dezbaterii Comitetului interministerial de coordonare a PNRR, trimestrial sau ori de câte ori este nevoie, stadiul implementării planului, eventualele blocaje intervenite, măsuri de remediere identificate.</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(5) În scopul asigurării unei monitorizări eficiente a PNRR şi a implicării partenerilor sociali şi societăţii civile în urmărirea progresului PNRR şi al reformelor se constituie un comitet de monitorizare, având ca membri organizaţii neguvernamentale selectate prin apel de candidaturi de către MIPE, în baza gradului de reprezentativitate al acestora, alături de care se vor regăsi similar sindicate şi patronate, precum şi structuri asociative ale administraţiei publice locale, respectiv Uniunea Naţională a Consiliilor Judeţene din România, Asociaţia Municipiilor din România, Asociaţia Oraşelor din România, Asociaţia Comunelor din România, precum şi alte forme asociative de interes general, constituite potrivit legii.</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(6) Reuniunile Comitetului de monitorizare vor avea loc trimestrial şi în cadrul lor va avea loc informarea membrilor cu privire la stadiul implementării PNRR, consultarea membrilor în scopul identificării de soluţii în eventualitatea unor blocaje în implementarea reformelor şi a PNRR, precum şi dezbaterea altor aspecte care reies din procesul de implementare efectivă. Procedura de organizare şi funcţionare se stabileşte prin hotărâre a Guvernului*), în termen de 30 de zile de la aprobarea PNRR de către Comisia Europeană.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#CIN</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w:t>
      </w:r>
      <w:r w:rsidRPr="00780FBF">
        <w:rPr>
          <w:rFonts w:cs="Times New Roman"/>
          <w:b/>
          <w:bCs/>
          <w:i/>
          <w:iCs/>
          <w:szCs w:val="28"/>
          <w:lang w:val="ro-RO"/>
        </w:rPr>
        <w:t>*)</w:t>
      </w:r>
      <w:r w:rsidRPr="00780FBF">
        <w:rPr>
          <w:rFonts w:cs="Times New Roman"/>
          <w:i/>
          <w:iCs/>
          <w:szCs w:val="28"/>
          <w:lang w:val="ro-RO"/>
        </w:rPr>
        <w:t xml:space="preserve"> A se vedea </w:t>
      </w:r>
      <w:r w:rsidRPr="00780FBF">
        <w:rPr>
          <w:rFonts w:cs="Times New Roman"/>
          <w:i/>
          <w:iCs/>
          <w:color w:val="008000"/>
          <w:szCs w:val="28"/>
          <w:u w:val="single"/>
          <w:lang w:val="ro-RO"/>
        </w:rPr>
        <w:t>Hotărârea Guvernului nr. 247/2022</w:t>
      </w:r>
      <w:r w:rsidRPr="00780FBF">
        <w:rPr>
          <w:rFonts w:cs="Times New Roman"/>
          <w:i/>
          <w:iCs/>
          <w:szCs w:val="28"/>
          <w:lang w:val="ro-RO"/>
        </w:rPr>
        <w:t xml:space="preserve"> privind organizarea şi funcţionarea Comitetului de monitorizare a Planului naţional de redresare şi rezilienţă al României.</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#M1</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w:t>
      </w:r>
      <w:r w:rsidRPr="00780FBF">
        <w:rPr>
          <w:rFonts w:cs="Times New Roman"/>
          <w:i/>
          <w:iCs/>
          <w:color w:val="FF0000"/>
          <w:szCs w:val="28"/>
          <w:u w:val="single"/>
          <w:lang w:val="ro-RO"/>
        </w:rPr>
        <w:t>ART. 8</w:t>
      </w:r>
      <w:r w:rsidRPr="00780FBF">
        <w:rPr>
          <w:rFonts w:cs="Times New Roman"/>
          <w:i/>
          <w:iCs/>
          <w:szCs w:val="28"/>
          <w:lang w:val="ro-RO"/>
        </w:rPr>
        <w:t xml:space="preserve"> *** Abrogat ~ </w:t>
      </w:r>
      <w:r w:rsidRPr="00780FBF">
        <w:rPr>
          <w:rFonts w:cs="Times New Roman"/>
          <w:b/>
          <w:bCs/>
          <w:i/>
          <w:iCs/>
          <w:color w:val="008000"/>
          <w:szCs w:val="28"/>
          <w:u w:val="single"/>
          <w:lang w:val="ro-RO"/>
        </w:rPr>
        <w:t>#Formă anterioară</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w:t>
      </w:r>
      <w:r w:rsidRPr="00780FBF">
        <w:rPr>
          <w:rFonts w:cs="Times New Roman"/>
          <w:i/>
          <w:iCs/>
          <w:color w:val="FF0000"/>
          <w:szCs w:val="28"/>
          <w:u w:val="single"/>
          <w:lang w:val="ro-RO"/>
        </w:rPr>
        <w:t>ART. 9</w:t>
      </w:r>
      <w:r w:rsidRPr="00780FBF">
        <w:rPr>
          <w:rFonts w:cs="Times New Roman"/>
          <w:i/>
          <w:iCs/>
          <w:szCs w:val="28"/>
          <w:lang w:val="ro-RO"/>
        </w:rPr>
        <w:t xml:space="preserve"> *** Abrogat</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#M6</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10</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(1) MIPE, în colaborare cu Serviciul de Telecomunicaţii Speciale, asigură dezvoltarea unui sistem informatic de management şi control al PNRR care răspunde cerinţelor prevăzute la </w:t>
      </w:r>
      <w:r w:rsidRPr="00780FBF">
        <w:rPr>
          <w:rFonts w:cs="Times New Roman"/>
          <w:i/>
          <w:iCs/>
          <w:color w:val="008000"/>
          <w:szCs w:val="28"/>
          <w:u w:val="single"/>
          <w:lang w:val="ro-RO"/>
        </w:rPr>
        <w:t>art. 22</w:t>
      </w:r>
      <w:r w:rsidRPr="00780FBF">
        <w:rPr>
          <w:rFonts w:cs="Times New Roman"/>
          <w:i/>
          <w:iCs/>
          <w:szCs w:val="28"/>
          <w:lang w:val="ro-RO"/>
        </w:rPr>
        <w:t xml:space="preserve"> alin. (2) lit. d) din Regulamentul (UE) 2021/241 al Parlamentului European şi al Consiliului din 12 februarie 2021 şi pentru care MIPE deţine, în condiţiile legii, toate drepturile asupra aplicaţiilor informatice dezvoltate de Serviciul de Telecomunicaţii Speciale, inclusiv codurile-sursă ale acestora.</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(2) Pentru derularea activităţilor aferente implementării proiectelor, respectiv lansare apeluri de proiecte, depunere aplicaţii, evaluare, contractare şi implementare, Serviciul de Telecomunicaţii Speciale dezvoltă sistemul informatic de management şi control al PNRR, în conformitate cu planificarea stabilită cu MIPE în baza protocolului de colaborare încheiat între părţi.</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(3) Serviciul de Telecomunicaţii Speciale, în calitate de administrator tehnic al sistemului informatic prevăzut la alin. (1), asigură, pentru MIPE, în calitate de administrator operaţional, dezvoltarea, testarea, </w:t>
      </w:r>
      <w:r w:rsidRPr="00780FBF">
        <w:rPr>
          <w:rFonts w:cs="Times New Roman"/>
          <w:i/>
          <w:iCs/>
          <w:szCs w:val="28"/>
          <w:lang w:val="ro-RO"/>
        </w:rPr>
        <w:lastRenderedPageBreak/>
        <w:t>punerea în producţie, mentenanţa corectivă şi evolutivă a sistemului informatic pe toate componentele sale de infrastructură, hardware, software de bază şi aplicaţie specifică, precum şi echipamentele IT necesare MIPE pentru utilizarea şi gestionarea sistemului.</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 Cheltuielile privind achiziţia de echipamente, aplicaţii software şi licenţe necesare pentru dezvoltarea, testarea, operarea, administrarea tehnică şi mentenanţa corectivă şi evolutivă a sistemului informatic prevăzut la alin. (1), respectiv cele privind echipamentele IT necesare MIPE pentru utilizarea şi gestionarea acestuia se suportă din PNRR şi de la bugetul de stat, prin bugetul Serviciului de Telecomunicaţii Speciale, în conformitate cu prevederile protocolului privind implementarea sistemului informatic de management şi control al PNRR încheiat între MIPE şi Serviciul de Telecomunicaţii Speciale.</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(4^1) Pentru achiziţiile prevăzute la alin. (4), MIPE, în calitate de coordonator naţional, încheie cu Serviciul de Telecomunicaţii Speciale, în calitate de furnizor al sistemului informatic de management şi control al PNRR, un protocol privind implementarea sistemului informatic de management şi control al PNRR realizat în cadrul investiţiei 5 din componenta 14 "Bună guvernanţă", act juridic, angajament legal în sensul </w:t>
      </w:r>
      <w:r w:rsidRPr="00780FBF">
        <w:rPr>
          <w:rFonts w:cs="Times New Roman"/>
          <w:i/>
          <w:iCs/>
          <w:color w:val="008000"/>
          <w:szCs w:val="28"/>
          <w:u w:val="single"/>
          <w:lang w:val="ro-RO"/>
        </w:rPr>
        <w:t>art. 2</w:t>
      </w:r>
      <w:r w:rsidRPr="00780FBF">
        <w:rPr>
          <w:rFonts w:cs="Times New Roman"/>
          <w:i/>
          <w:iCs/>
          <w:szCs w:val="28"/>
          <w:lang w:val="ro-RO"/>
        </w:rPr>
        <w:t xml:space="preserve"> alin. (1) pct. 3 din Legea nr. 500/2002 privind finanţele publice, cu modificările şi completările ulterioare, prin care sunt stabilite condiţiile necesare pentru dezvoltarea, testarea, operarea, administrarea tehnică, mentenanţa corectivă şi evolutivă a sistemului informatic prevăzut la alin. (1).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(5) Pentru sistemul informatic prevăzut la alin. (1), Serviciul de Telecomunicaţii Speciale asigură şi implementează măsurile de securitate cibernetică pentru toate componentele sistemului, iar Serviciul Român de Informaţii, prin Centrul Naţional Cyberint, asigură măsurile de cyber intelligence.</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i/>
          <w:iCs/>
          <w:szCs w:val="28"/>
          <w:lang w:val="ro-RO"/>
        </w:rPr>
      </w:pPr>
      <w:r w:rsidRPr="00780FBF">
        <w:rPr>
          <w:rFonts w:cs="Times New Roman"/>
          <w:i/>
          <w:iCs/>
          <w:szCs w:val="28"/>
          <w:lang w:val="ro-RO"/>
        </w:rPr>
        <w:t xml:space="preserve">    (6) MIPE, în calitate de operator de date cu caracter personal, împuterniceşte Serviciul de Telecomunicaţii Speciale să prelucreze datele cu caracter personal din cadrul sistemului informatic prevăzut la alin. (1), în vederea stocării datelor şi desfăşurării operaţiunilor necesare administrării sistemului informatic, potrivit prevederilor alin. (3).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(7) Limitele împuternicirii menţionate la alin. (6), precum şi responsabilităţile utilizatorilor sistemului informatic menţionat la alin. (1) se stabilesc de MIPE şi Serviciul de Telecomunicaţii Speciale, de comun acord, prin protocol.</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#M3</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szCs w:val="28"/>
          <w:lang w:val="ro-RO"/>
        </w:rPr>
        <w:t xml:space="preserve">    </w:t>
      </w:r>
      <w:r w:rsidRPr="00780FBF">
        <w:rPr>
          <w:rFonts w:cs="Times New Roman"/>
          <w:color w:val="FF0000"/>
          <w:szCs w:val="28"/>
          <w:u w:val="single"/>
          <w:lang w:val="ro-RO"/>
        </w:rPr>
        <w:t>ART. 11</w:t>
      </w: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i/>
          <w:iCs/>
          <w:szCs w:val="28"/>
          <w:lang w:val="ro-RO"/>
        </w:rPr>
        <w:t xml:space="preserve">    Măsurile privind stabilirea cadrului instituţional şi financiar de gestionare a fondurilor europene în cadrul PNRR vor fi reglementate în termen de maximum 90 de zile de la finalizarea procedurilor de aprobare a PNRR la nivel european.</w:t>
      </w:r>
    </w:p>
    <w:p w:rsidR="00780FBF" w:rsidRPr="00780FBF" w:rsidRDefault="00780FBF" w:rsidP="00780FBF">
      <w:pPr>
        <w:autoSpaceDE w:val="0"/>
        <w:autoSpaceDN w:val="0"/>
        <w:adjustRightInd w:val="0"/>
        <w:spacing w:after="0" w:line="240" w:lineRule="auto"/>
        <w:rPr>
          <w:rFonts w:cs="Times New Roman"/>
          <w:szCs w:val="28"/>
          <w:lang w:val="ro-RO"/>
        </w:rPr>
      </w:pPr>
    </w:p>
    <w:p w:rsidR="00780FBF" w:rsidRPr="00780FBF" w:rsidRDefault="00780FBF" w:rsidP="00780FBF">
      <w:pPr>
        <w:autoSpaceDE w:val="0"/>
        <w:autoSpaceDN w:val="0"/>
        <w:adjustRightInd w:val="0"/>
        <w:spacing w:after="0" w:line="240" w:lineRule="auto"/>
        <w:rPr>
          <w:rFonts w:cs="Times New Roman"/>
          <w:szCs w:val="28"/>
          <w:lang w:val="ro-RO"/>
        </w:rPr>
      </w:pPr>
      <w:r w:rsidRPr="00780FBF">
        <w:rPr>
          <w:rFonts w:cs="Times New Roman"/>
          <w:b/>
          <w:bCs/>
          <w:color w:val="008000"/>
          <w:szCs w:val="28"/>
          <w:u w:val="single"/>
          <w:lang w:val="ro-RO"/>
        </w:rPr>
        <w:t>#B</w:t>
      </w:r>
    </w:p>
    <w:p w:rsidR="00433786" w:rsidRPr="00780FBF" w:rsidRDefault="00780FBF" w:rsidP="00780FBF">
      <w:pPr>
        <w:rPr>
          <w:sz w:val="18"/>
          <w:lang w:val="ro-RO"/>
        </w:rPr>
      </w:pPr>
      <w:r w:rsidRPr="00780FBF">
        <w:rPr>
          <w:rFonts w:cs="Times New Roman"/>
          <w:szCs w:val="28"/>
          <w:lang w:val="ro-RO"/>
        </w:rPr>
        <w:t xml:space="preserve">                              ---------------</w:t>
      </w:r>
    </w:p>
    <w:sectPr w:rsidR="00433786" w:rsidRPr="00780FB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531" w:rsidRDefault="00583531" w:rsidP="00780FBF">
      <w:pPr>
        <w:spacing w:after="0" w:line="240" w:lineRule="auto"/>
      </w:pPr>
      <w:r>
        <w:separator/>
      </w:r>
    </w:p>
  </w:endnote>
  <w:endnote w:type="continuationSeparator" w:id="0">
    <w:p w:rsidR="00583531" w:rsidRDefault="00583531" w:rsidP="00780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BF" w:rsidRDefault="00780FBF" w:rsidP="00780FB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531" w:rsidRDefault="00583531" w:rsidP="00780FBF">
      <w:pPr>
        <w:spacing w:after="0" w:line="240" w:lineRule="auto"/>
      </w:pPr>
      <w:r>
        <w:separator/>
      </w:r>
    </w:p>
  </w:footnote>
  <w:footnote w:type="continuationSeparator" w:id="0">
    <w:p w:rsidR="00583531" w:rsidRDefault="00583531" w:rsidP="00780F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FBF"/>
    <w:rsid w:val="00433786"/>
    <w:rsid w:val="00583531"/>
    <w:rsid w:val="00780FBF"/>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06BB8C-1400-4F62-A017-5E63E7A2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FBF"/>
  </w:style>
  <w:style w:type="paragraph" w:styleId="Footer">
    <w:name w:val="footer"/>
    <w:basedOn w:val="Normal"/>
    <w:link w:val="FooterChar"/>
    <w:uiPriority w:val="99"/>
    <w:unhideWhenUsed/>
    <w:rsid w:val="00780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4227</Words>
  <Characters>24096</Characters>
  <Application>Microsoft Office Word</Application>
  <DocSecurity>0</DocSecurity>
  <Lines>200</Lines>
  <Paragraphs>56</Paragraphs>
  <ScaleCrop>false</ScaleCrop>
  <Company/>
  <LinksUpToDate>false</LinksUpToDate>
  <CharactersWithSpaces>28267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2023-02-09T12:25:00Z</dcterms:created>
  <dcterms:modified xsi:type="dcterms:W3CDTF">2023-02-09T12:26:00Z</dcterms:modified>
</cp:coreProperties>
</file>