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723" w:rsidRPr="00737723" w:rsidRDefault="00737723" w:rsidP="00737723">
      <w:pPr>
        <w:autoSpaceDE w:val="0"/>
        <w:autoSpaceDN w:val="0"/>
        <w:adjustRightInd w:val="0"/>
        <w:rPr>
          <w:rFonts w:cs="Times New Roman"/>
          <w:szCs w:val="28"/>
          <w:lang w:val="ro-RO"/>
        </w:rPr>
      </w:pPr>
      <w:bookmarkStart w:id="0" w:name="_GoBack"/>
      <w:bookmarkEnd w:id="0"/>
      <w:r w:rsidRPr="00737723">
        <w:rPr>
          <w:rFonts w:cs="Times New Roman"/>
          <w:szCs w:val="28"/>
          <w:lang w:val="ro-RO"/>
        </w:rPr>
        <w:t xml:space="preserve">                     ORDIN  Nr. 1287/2023 din 6 aprilie 2023</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privind transmiterea situaţiilor financiare trimestriale şi anuale, precum şi a unor raportări financiare lunare centralizate întocmite de instituţiile publice începând cu anul 2023 şi pentru modificarea şi completarea unor ordine ale ministrului finanţelor publice în domeniul contabilităţii instituţiilor publice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EMITENT:     MINISTERUL FINANŢELOR</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PUBLICAT ÎN: MONITORUL OFICIAL  NR. 304 din 11 aprilie 2023</w:t>
      </w:r>
    </w:p>
    <w:p w:rsidR="00737723" w:rsidRPr="00737723" w:rsidRDefault="00737723" w:rsidP="00737723">
      <w:pPr>
        <w:autoSpaceDE w:val="0"/>
        <w:autoSpaceDN w:val="0"/>
        <w:adjustRightInd w:val="0"/>
        <w:rPr>
          <w:rFonts w:cs="Times New Roman"/>
          <w:szCs w:val="28"/>
          <w:lang w:val="ro-RO"/>
        </w:rPr>
      </w:pP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Având în vedere dispoziţiile art. 19 lit. d) din Legea nr. 500/2002 privind finanţele publice, cu modificările şi completările ulterioare, ale art. 80 alin. (2) şi ale art. 84 din Legea nr. 273/2006 privind finanţele publice locale, cu modificările şi completările ulterioare,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în baza dispoziţiilor art. 4 alin. (1) din Legea contabilităţii nr. 82/1991, republicată, cu modificările şi completările ulterioare,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în baza prevederilor art. 5 şi art. 9 alin. (3) din Ordonanţa de urgenţă a Guvernului nr. 88/2013 privind adoptarea unor măsuri fiscal-bugetare pentru îndeplinirea unor angajamente convenite cu organismele internaţionale, precum şi pentru modificarea şi completarea unor acte normative, aprobată cu modificări prin Legea nr. 25/2014, cu modificările ulterioare,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în temeiul art. 10 alin. (4) din Hotărârea Guvernului nr. 34/2009 privind organizarea şi funcţionarea Ministerului Finanţelor, cu modificările şi completările ulterioare,</w:t>
      </w:r>
    </w:p>
    <w:p w:rsidR="00737723" w:rsidRPr="00737723" w:rsidRDefault="00737723" w:rsidP="00737723">
      <w:pPr>
        <w:autoSpaceDE w:val="0"/>
        <w:autoSpaceDN w:val="0"/>
        <w:adjustRightInd w:val="0"/>
        <w:rPr>
          <w:rFonts w:cs="Times New Roman"/>
          <w:szCs w:val="28"/>
          <w:lang w:val="ro-RO"/>
        </w:rPr>
      </w:pP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w:t>
      </w:r>
      <w:r w:rsidRPr="00737723">
        <w:rPr>
          <w:rFonts w:cs="Times New Roman"/>
          <w:b/>
          <w:bCs/>
          <w:szCs w:val="28"/>
          <w:lang w:val="ro-RO"/>
        </w:rPr>
        <w:t>ministrul finanţelor</w:t>
      </w:r>
      <w:r w:rsidRPr="00737723">
        <w:rPr>
          <w:rFonts w:cs="Times New Roman"/>
          <w:szCs w:val="28"/>
          <w:lang w:val="ro-RO"/>
        </w:rPr>
        <w:t xml:space="preserve"> emite următorul ordin:</w:t>
      </w:r>
    </w:p>
    <w:p w:rsidR="00737723" w:rsidRPr="00737723" w:rsidRDefault="00737723" w:rsidP="00737723">
      <w:pPr>
        <w:autoSpaceDE w:val="0"/>
        <w:autoSpaceDN w:val="0"/>
        <w:adjustRightInd w:val="0"/>
        <w:rPr>
          <w:rFonts w:cs="Times New Roman"/>
          <w:szCs w:val="28"/>
          <w:lang w:val="ro-RO"/>
        </w:rPr>
      </w:pP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ART. I</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(1) Situaţiile financiare trimestriale centralizate, întocmite de instituţiile publice pentru trimestrele I - III ale anului 2023, nu se mai transmit pe suport hârtie la Ministerul Finanţelor şi la unităţile subordonate.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(2) Situaţiile prevăzute la alin. (1) se transmit în formatul electronic generat de programul informatic pus la dispoziţie de Ministerul Finanţelor, precum şi scanate prin e-mail, la termenele stabilite de reglementările contabile în vigoare, semnate de către persoanele cu atribuţii în acest sens, însoţite de o adresă de înaintare.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(3) Adresele de e-mail la care/de la care se transmit documentele prevăzute la alin. (1) se stabilesc de comun acord între Ministerul Finanţelor sau unităţile subordonate, după caz, şi instituţiile publice.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(4) Răspunderea privind transmiterea situaţiilor financiare trimestriale centralizate, potrivit alin. (2), la Ministerul Finanţelor sau la unităţile subordonate revine ordonatorilor de credite ai instituţiilor publice.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(5) Documentele prevăzute la alin. (2) transmise la Ministerul Finanţelor şi la unităţile subordonate se semnează fie olograf, fie cu semnătură electronică calificată.</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(6) Termenele de transmitere la Ministerul Finanţelor - Direcţia generală de contabilitate publică - a situaţiilor financiare trimestriale şi anuale şi centralizate sunt cele prevăzute de reglementările în vigoare.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ART. II</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Începând cu exerciţiul financiar 2023, din anexa la Ordinul ministrului finanţelor publice nr. 1.998/2019 pentru aprobarea Normelor metodologice privind întocmirea şi depunerea situaţiilor financiare trimestriale şi a unor raportări financiare lunare ale instituţiilor publice în anul 2019, precum şi pentru modificarea şi completarea altor norme metodologice în domeniul contabilităţii publice, publicat în Monitorul Oficial al României, Partea I, nr. 284 din 15 aprilie 2019, cu modificările şi completările ulterioare, se suspendă întocmirea şi depunerea/transmiterea unor formulare de situaţii financiare şi a instrucţiunilor de completare a acestora, după cum urmează:</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1. Începând cu situaţiile financiare întocmite pentru trimestrul I al anului 2023, se suspendă întocmirea şi depunerea/transmiterea la Ministerul Finanţelor şi unităţile subordonate a următoarelor formulare care fac parte din situaţiile financiare trimestriale, prevăzute la pct. 1.3:</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a) formularul "Situaţia plăţilor efectuate şi a sumelor declarate pentru cota-parte aferentă cheltuielilor finanţate din FEN postaderare" (anexa nr. 19 la situaţiile financiare) şi instrucţiunile de completare prevăzute la pct. 1.5.(5).1 - 1.5.(5).5;</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b) formularul "Situaţia plăţilor efectuate din fonduri externe nerambursabile postaderare (titlul 56, titlul 58 şi titlul 60)" (anexa nr. 27 la situaţiile financiare) şi instrucţiunile de completare prevăzute la pct. 1.5.(8).1 şi 1.5.(8).2;</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c) formularul "Situaţia plăţilor efectuate la titlul 61 «Proiecte cu finanţare din sumele aferente componentei de împrumuturi a PNRR» şi la titlul 65 «Cheltuieli aferente programelor cu finanţare rambursabilă»" (anexa nr. 28 la situaţiile financiare) şi instrucţiunile de completare prevăzute la pct. 1.5.(9).1 şi 1.5.(9).2;</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lastRenderedPageBreak/>
        <w:t xml:space="preserve">    d) formularul "Plăţi restante" (anexa nr. 30 la situaţiile financiare) şi instrucţiunile de completare prevăzute la pct. 1.5.(10);</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e) formularul "Plăţi restante" (anexa nr. 30b la situaţiile financiare) şi instrucţiunile de completare prevăzute la pct. 1.5.(11) şi 1.5.(12).</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2. Începând cu raportarea financiară lunară aferentă lunii aprilie 2023, se suspendă întocmirea şi transmiterea la Ministerul Finanţelor şi unităţile subordonate a raportărilor financiare lunare prevăzute la cap. I "Situaţii financiare trimestriale şi raportări financiare lunare" pct. 1.6.(1) subpct. A lit. c) şi d) şi, respectiv, subpct. B lit. d), e), f) şi g).</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3. Începând cu raportarea financiară lunară aferentă lunii iulie 2023, se suspendă întocmirea şi transmiterea la Ministerul Finanţelor şi unităţile subordonate a raportărilor financiare lunare prevăzute la cap. I "Situaţii financiare trimestriale şi raportări financiare lunare" pct. 1.6.(1) subpct. C lit. a), b) şi c).</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ART. III</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Începând cu situaţiile financiare întocmite la finele exerciţiului financiar 2023, se suspendă întocmirea şi depunerea/transmiterea la Ministerul Finanţelor şi unităţile subordonate a următoarelor formulare care fac parte din situaţiile financiare anuale, prevăzute la pct. 1.5.(1) din anexa nr. 1 la Ordinul ministrului finanţelor publice nr. 129/2019 pentru aprobarea Normelor metodologice privind întocmirea şi depunerea situaţiilor financiare ale instituţiilor publice la 31 decembrie 2018 şi pentru modificarea altor norme metodologice în domeniul contabilităţii instituţiilor publice, publicat în Monitorul Oficial al României, Partea I, nr. 68 din 28 ianuarie 2019, cu modificările şi completările ulterioare: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a) formularul "Situaţia plăţilor efectuate şi a sumelor declarate pentru cota-parte aferentă cheltuielilor finanţate din FEN postaderare" (anexa nr. 19 la situaţiile financiare) şi instrucţiunile de completare prevăzute la pct. 4.20;</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b) formularul "Situaţia plăţilor efectuate din fonduri externe nerambursabile postaderare (titlul 56, titlul 58 şi titlul 60)" (anexa nr. 27 la situaţiile financiare) şi instrucţiunile de completare prevăzute la pct. 4.24;</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c) formularul "Situaţia plăţilor efectuate la titlul 61 «Proiecte cu finanţare din sumele aferente componentei de împrumuturi a PNRR» şi la titlul 65 «Cheltuieli aferente programelor cu finanţare rambursabilă»" (anexa nr. 28 la situaţiile financiare) şi instrucţiunile de completare prevăzute la pct. 4.25;</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d) formularul "Plăţi restante" (anexa nr. 30 la situaţiile financiare) şi instrucţiunile de completare prevăzute la pct. 4.26.(1) şi 4.26.(3);</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e) formularul "Plăţi restante" (anexa nr. 30b la situaţiile financiare) şi instrucţiunile de completare prevăzute la pct. 4.26.(2) şi 4.26.(3);</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f) formularul "Situaţia acţiunilor deţinute de instituţiile publice, în numele statului român, la societăţi comerciale, societăţi/companii naţionale, precum şi în capitalul unor organisme internaţionale şi companii străine" (anexa nr. 31 la situaţiile financiare anuale) şi instrucţiunile de completare prevăzute la pct. 4.27.(1) şi 4.27.(2);</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g) formularul "Situaţia acţiunilor/părţilor sociale deţinute direct/indirect de unităţile administrativ-teritoriale la operatorii economici" (anexa nr. 31b la situaţiile financiare anuale) şi instrucţiunile de completare prevăzute la pct. 4.27.(3);</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h) formularele "Situaţia activelor fixe amortizabile" şi "Situaţia activelor fixe neamortizabile" (anexele nr. 35a şi 35b la situaţiile financiare anuale) şi instrucţiunile de completare prevăzute la pct. 4.30.(1) - 4.30.(3).</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ART. IV</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(1) Informaţiile aferente formularelor suspendate se preiau şi se valorifică din următoarele note/rapoarte/anexe generate din sistemul naţional de raportare - Forexebug, prevăzute la art. 2 din Ordinul ministrului finanţelor publice nr. 1.801/2020 pentru aprobarea componenţei, a modelelor şi a normelor metodologice de elaborare a rapoartelor privind situaţiile financiare, a rapoartelor privind notele la situaţiile financiare şi alte rapoarte/anexe trimestriale şi anuale generate din sistemul naţional de raportare - Forexebug, publicat în Monitorul Oficial al României, Partea I, nr. 280 din 3 aprilie 2020, cu modificările şi completările ulterioare, care înlocuiesc formularele suspendate: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a) nota 31 "Acţiuni şi alte participaţii, deţinute de entităţile publice, în numele statului român, la societăţi, societăţi/companii naţionale, precum şi în capitalul unor organisme internaţionale şi companii străine";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b) nota 31B "Acţiuni/alte participaţii deţinute direct/indirect de unităţile administrativ-teritoriale la operatorii economici";</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c) nota 35a "Active fixe corporale";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d) nota 35c "Active fixe necorporale";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e) anexa 30 "Plăţi restante şi situaţia numărului de posturi";</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lastRenderedPageBreak/>
        <w:t xml:space="preserve">    f) anexa 19 "Situaţia plăţilor efectuate şi a sumelor declarate pentru cota-parte aferentă cheltuielilor finanţate din FEN postaderare";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g) anexa 27 "Situaţia plăţilor efectuate din fonduri externe nerambursabile postaderare (titlul 56, titlul 58 şi titlul 60)";</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h) anexa 28 "Situaţia plăţilor efectuate la titlul 61 «Proiecte cu finanţare din sumele aferente componentei de împrumuturi a PNRR» şi la titlul 65 «Cheltuieli aferente programelor cu finanţare rambursabilă»".</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(2) În baza procedurii de funcţionare a sistemului naţional de raportare - Forexebug, în funcţie de necesităţi şi de cerinţele utilizatorilor, se pot genera şi alte tipuri de rapoarte.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ART. V</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(1) În baza rapoartelor lunare/trimestriale/anuale generate din sistemul naţional de raportare - Forexebug, ordonatorii de credite întocmesc notele explicative prevăzute la punctele 27.2, 27.8 şi 27.9 din cap. II din anexa nr. 1 la Ordinul ministrului finanţelor publice nr. 1.801/2020, cu modificările şi completările ulterioare.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(2) Ordonatorii principali de credite ai bugetului de stat, bugetului asigurărilor sociale de stat, bugetului asigurărilor de şomaj şi bugetului Fondului naţional unic de asigurări sociale de sănătate, instituţiile publice autonome, transmit notele explicative centralizate scanate, prin e-mail, la Direcţia generală de contabilitate publică din Ministerul Finanţelor, la termenele stabilite de reglementările contabile în vigoare, semnate de către persoanele cu atribuţii în acest sens.</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(3) Notele explicative prevăzute la alin. (2) sunt însoţite de o adresă de înaintare, scanată şi semnată de conducătorul instituţiei publice şi conducătorul compartimentului financiar-contabil sau persoanele desemnate.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(4) Unităţile administrativ-teritoriale transmit notele explicative centralizate scanate, prin e-mail, la unităţile subordonate ale Ministerului Finanţelor, la termenele stabilite de reglementările contabile în vigoare, semnate de către persoanele cu atribuţii în acest sens.</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(5) Notele explicative prevăzute la alin. (4) sunt însoţite de o adresă de înaintare, scanată şi semnată de conducătorul instituţiei publice.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(6) Notele explicative centralizate pe total judeţ se transmit de unităţile teritoriale ale Ministerului Finanţelor la Direcţia generală de contabilitate publică din Ministerul Finanţelor.</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(7) În vederea întocmirii notelor explicative centralizate de instituţiile publice prevăzute la alin. (2) şi (4), instituţiile publice din subordine transmit la ordonatorul ierarhic superior notele explicative şi copii ale recipiselor primite din Sistemul naţional de raportare - Forexebug.</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(8) Răspunderea privind transmiterea notelor explicative centralizate, întocmite potrivit cerinţelor de la alin. (2) şi (4), la Ministerul Finanţelor sau la unităţile subordonate revine ordonatorilor principali de credite ai instituţiilor publice.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(9) Direcţia generală de contabilitate publică din Ministerul Finanţelor şi unităţile subordonate ale Ministerului Finanţelor urmăresc concordanţa datelor lunare transmise cu cele raportate prin situaţiile financiare trimestriale şi anuale. În cazul unor diferenţe majore, aceste structuri solicită ordonatorilor principali de credite comunicarea cauzelor acestor diferenţe, precum şi corecţia datelor raportate.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(10) Responsabilitatea efectuării verificărilor aparţine ordonatorului de credite superior pentru instituţiile subordonate, Ministerului Finanţelor - Direcţia generală de contabilitate publică şi Serviciului/Biroului sinteza şi asistenţa elaborării şi execuţiei bugetelor locale din cadrul activităţilor de trezorerie şi contabilitate publică judeţene şi a municipiului Bucureşti, pentru instituţiile care depun/transmit la acestea.</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(11) În acest scop, structurile prevăzute la alin. (10) pot solicita explicaţii suplimentare şi efectuarea corecţiilor ori de câte ori consideră necesar.</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ART. VI</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Începând cu situaţiile financiare întocmite pentru trimestrul I 2023, se suspendă aplicarea următoarelor dispoziţii din anexa nr. 3 "Corelaţii între formularele de situaţii financiare trimestriale" la Ordinul ministrului finanţelor publice nr. 640/2017 pentru aprobarea Normelor metodologice privind întocmirea şi depunerea situaţiilor financiare trimestriale ale instituţiilor publice, precum şi a unor raportări financiare lunare în anul 2017, pentru modificarea şi completarea Normelor metodologice privind organizarea şi conducerea contabilităţii instituţiilor publice, Planul de conturi pentru instituţiile publice şi instrucţiunile de aplicare a acestuia, aprobate prin Ordinul ministrului finanţelor publice nr. 1.917/2005, precum şi pentru modificarea şi completarea altor norme metodologice în domeniul contabilităţii publice, publicat în Monitorul Oficial al României, Partea I, nr. 336 din 9 mai 2017, cu modificările şi completările ulterioare: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lastRenderedPageBreak/>
        <w:t xml:space="preserve">    1. punctele şi subpunctele: (7), (7).1, (7).2, (8), (8).1, (9), (9).1, (9).2, (9).3, (10), (10).1 şi (10).2 ale titlului II "Corelaţii între formularele de situaţii financiare trimestriale pentru subsectorul Administraţia centrală (S1311)";</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2. punctele şi subpunctele: (7), (7).1, (7).2, (8), (8).1, (9), (9).1 - (9).3, (10), (10).1 şi (10).2 ale titlului III "Corelaţii între formularele de situaţii financiare trimestriale la subsectorul Administraţia locală (S1313)";</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3. punctele şi subpunctele: (7), (7).1, (7).2, (8), (8).1, (9), (9).1 - (9).3, (10), (10).1 şi (10).2 ale titlului IV "Corelaţii între formularele de situaţii financiare trimestriale din subsectorul Asigurări sociale (S1314)".</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ART. VII</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Începând cu situaţiile financiare anuale întocmite pentru exerciţiul financiar 2023, se suspendă aplicarea următoarelor dispoziţii din anexa nr. 2 "Corelaţii între şi în cadrul formularelor de situaţii financiare anuale" la Ordinul ministrului finanţelor publice nr. 1.177/2018 pentru aprobarea Normelor metodologice privind întocmirea şi depunerea situaţiilor financiare ale instituţiilor publice la 31 decembrie 2017 şi pentru modificarea altor norme metodologice în domeniul contabilităţii, publicat în Monitorul Oficial al României, Partea I, nr. 96 din 1 februarie 2018, cu modificările şi completările ulterioare: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1. punctele şi subpunctele: (5), (5).1 - (5).6, (6), (6).1 - (6).10, (10), (10).1, (11), (11).1 - (11).8, (12), (12).1 - (12).15, (13), (13).1, (13).2, (14), (14).1, (15), (15).1 - (15).3, (16), (16).1 şi (16).2 ale titlului II "Corelaţii între şi în cadrul formularelor de situaţii financiare anuale pentru subsectorul Administraţia centrală (S1311)";</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2. punctele şi subpunctele: (7), (7).1, (9), (9).1 - (9).6, (10), (10).1 - (10).10, (11), (11).1 - (11).8, (12), (12).1 - (12).15, (13), (13).1, (13).2, (14), (14).1, (15), (15).1 - (15).3, (16) şi (16).1 ale titlului III "Corelaţii între şi în cadrul formularelor de situaţii financiare anuale la subsectorul Administraţia locală (S1313)";</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3. punctele şi subpunctele: (8), (8).1 - (8).6, (9), (9).1 - (9).10, (10), (10).1 - (10).8, (11), (11).1 - (11).15, (12), (12).1, (12).2, (13), (13).1, (14), (14).1 - (14).3, (15), (15).1 şi (15).2 ale titlului IV "Corelaţii între şi în cadrul formularelor de situaţii financiare anuale din subsectorul Asigurări sociale (S1314)".</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ART. VIII</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La punctul 8.4 din anexa nr. 1 la Ordinul ministrului finanţelor publice nr. 1.801/2020 pentru aprobarea componenţei, a modelelor şi a normelor metodologice de elaborare a rapoartelor privind situaţiile financiare, a rapoartelor privind notele la situaţiile financiare şi alte rapoarte/anexe trimestriale şi anuale generate din sistemul naţional de raportare - Forexebug, publicat în Monitorul Oficial al României, Partea I, nr. 280 din 3 aprilie 2020, cu modificările şi completările ulterioare, după primul paragraf se introduce un nou paragraf, paragraful al doilea, cu următorul cuprins:</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"În conturile contabile 8066000 «Angajamente bugetare» şi 8067000 «Angajamente legale» nu se evidenţiază sumele provenite din finanţarea bugetară a anilor precedenţi care se restituie bugetelor din care au fost acordate. Astfel, în raportul «Contul de execuţie cheltuieli», în coloanele angajamente bugetare şi angajamente legale nu sunt prezentate sumele recuperate la titlul 85 «Plăţi efectuate în anii precedenţi şi recuperate în anul curent»."</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ART. IX</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(1) Instituţiile publice au obligaţia păstrării şi arhivării pe suport electronic şi hârtie a setului de situaţii financiare trimestriale şi anuale semnate de conducătorul instituţiei publice şi conducătorul compartimentului financiar-contabil sau alte persoane delegate cu exercitarea acestor competenţe, care se păstrează la sediul instituţiei publice pe durata prevăzută de legislaţia în vigoare.</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(2) Setul de situaţii financiare trimestriale şi anuale se constituie din formularele prevăzute de Ordinul ministrului finanţelor publice nr. 1.998/2019, cu modificările şi completările ulterioare, Ordinul ministrului finanţelor publice nr. 129/2019, cu modificările şi completările ulterioare, precum şi rapoartele generate de sistemul naţional de raportare - Forexebug, care au înlocuit formularele suspendate prevăzute la art. II şi III.</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ART. X</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La data intrării în vigoare a prezentului ordin, orice alte dispoziţii contrare se abrogă.</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ART. XI</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Prezentul ordin se publică în Monitorul Oficial al României, Partea I.</w:t>
      </w:r>
    </w:p>
    <w:p w:rsidR="00737723" w:rsidRPr="00737723" w:rsidRDefault="00737723" w:rsidP="00737723">
      <w:pPr>
        <w:autoSpaceDE w:val="0"/>
        <w:autoSpaceDN w:val="0"/>
        <w:adjustRightInd w:val="0"/>
        <w:rPr>
          <w:rFonts w:cs="Times New Roman"/>
          <w:szCs w:val="28"/>
          <w:lang w:val="ro-RO"/>
        </w:rPr>
      </w:pP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Ministrul finanţelor,</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w:t>
      </w:r>
      <w:r w:rsidRPr="00737723">
        <w:rPr>
          <w:rFonts w:cs="Times New Roman"/>
          <w:b/>
          <w:bCs/>
          <w:szCs w:val="28"/>
          <w:lang w:val="ro-RO"/>
        </w:rPr>
        <w:t>Adrian Câciu</w:t>
      </w:r>
    </w:p>
    <w:p w:rsidR="00737723" w:rsidRPr="00737723" w:rsidRDefault="00737723" w:rsidP="00737723">
      <w:pPr>
        <w:autoSpaceDE w:val="0"/>
        <w:autoSpaceDN w:val="0"/>
        <w:adjustRightInd w:val="0"/>
        <w:rPr>
          <w:rFonts w:cs="Times New Roman"/>
          <w:szCs w:val="28"/>
          <w:lang w:val="ro-RO"/>
        </w:rPr>
      </w:pP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Bucureşti, 6 aprilie 2023.</w:t>
      </w:r>
    </w:p>
    <w:p w:rsidR="00737723" w:rsidRPr="00737723" w:rsidRDefault="00737723" w:rsidP="00737723">
      <w:pPr>
        <w:autoSpaceDE w:val="0"/>
        <w:autoSpaceDN w:val="0"/>
        <w:adjustRightInd w:val="0"/>
        <w:rPr>
          <w:rFonts w:cs="Times New Roman"/>
          <w:szCs w:val="28"/>
          <w:lang w:val="ro-RO"/>
        </w:rPr>
      </w:pPr>
      <w:r w:rsidRPr="00737723">
        <w:rPr>
          <w:rFonts w:cs="Times New Roman"/>
          <w:szCs w:val="28"/>
          <w:lang w:val="ro-RO"/>
        </w:rPr>
        <w:t xml:space="preserve">    Nr. 1.287.</w:t>
      </w:r>
    </w:p>
    <w:p w:rsidR="00737723" w:rsidRPr="00737723" w:rsidRDefault="00737723" w:rsidP="00737723">
      <w:pPr>
        <w:autoSpaceDE w:val="0"/>
        <w:autoSpaceDN w:val="0"/>
        <w:adjustRightInd w:val="0"/>
        <w:rPr>
          <w:rFonts w:cs="Times New Roman"/>
          <w:szCs w:val="28"/>
          <w:lang w:val="ro-RO"/>
        </w:rPr>
      </w:pPr>
    </w:p>
    <w:p w:rsidR="00265E3D" w:rsidRPr="00737723" w:rsidRDefault="00737723" w:rsidP="00737723">
      <w:pPr>
        <w:rPr>
          <w:sz w:val="18"/>
          <w:lang w:val="ro-RO"/>
        </w:rPr>
      </w:pPr>
      <w:r w:rsidRPr="00737723">
        <w:rPr>
          <w:rFonts w:cs="Times New Roman"/>
          <w:szCs w:val="28"/>
          <w:lang w:val="ro-RO"/>
        </w:rPr>
        <w:lastRenderedPageBreak/>
        <w:t xml:space="preserve">                              ---------------</w:t>
      </w:r>
    </w:p>
    <w:sectPr w:rsidR="00265E3D" w:rsidRPr="00737723" w:rsidSect="005C78D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3A7" w:rsidRDefault="001263A7" w:rsidP="00737723">
      <w:r>
        <w:separator/>
      </w:r>
    </w:p>
  </w:endnote>
  <w:endnote w:type="continuationSeparator" w:id="0">
    <w:p w:rsidR="001263A7" w:rsidRDefault="001263A7" w:rsidP="00737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723" w:rsidRDefault="00737723" w:rsidP="00737723">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3A7" w:rsidRDefault="001263A7" w:rsidP="00737723">
      <w:r>
        <w:separator/>
      </w:r>
    </w:p>
  </w:footnote>
  <w:footnote w:type="continuationSeparator" w:id="0">
    <w:p w:rsidR="001263A7" w:rsidRDefault="001263A7" w:rsidP="007377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723"/>
    <w:rsid w:val="001263A7"/>
    <w:rsid w:val="00265E3D"/>
    <w:rsid w:val="005C78D6"/>
    <w:rsid w:val="00737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1CD5C7-9B73-48D9-AE75-B00CEFE20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723"/>
    <w:pPr>
      <w:tabs>
        <w:tab w:val="center" w:pos="4680"/>
        <w:tab w:val="right" w:pos="9360"/>
      </w:tabs>
    </w:pPr>
  </w:style>
  <w:style w:type="character" w:customStyle="1" w:styleId="HeaderChar">
    <w:name w:val="Header Char"/>
    <w:basedOn w:val="DefaultParagraphFont"/>
    <w:link w:val="Header"/>
    <w:uiPriority w:val="99"/>
    <w:rsid w:val="00737723"/>
  </w:style>
  <w:style w:type="paragraph" w:styleId="Footer">
    <w:name w:val="footer"/>
    <w:basedOn w:val="Normal"/>
    <w:link w:val="FooterChar"/>
    <w:uiPriority w:val="99"/>
    <w:unhideWhenUsed/>
    <w:rsid w:val="00737723"/>
    <w:pPr>
      <w:tabs>
        <w:tab w:val="center" w:pos="4680"/>
        <w:tab w:val="right" w:pos="9360"/>
      </w:tabs>
    </w:pPr>
  </w:style>
  <w:style w:type="character" w:customStyle="1" w:styleId="FooterChar">
    <w:name w:val="Footer Char"/>
    <w:basedOn w:val="DefaultParagraphFont"/>
    <w:link w:val="Footer"/>
    <w:uiPriority w:val="99"/>
    <w:rsid w:val="007377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2850</Words>
  <Characters>16248</Characters>
  <Application>Microsoft Office Word</Application>
  <DocSecurity>0</DocSecurity>
  <Lines>135</Lines>
  <Paragraphs>38</Paragraphs>
  <ScaleCrop>false</ScaleCrop>
  <Company/>
  <LinksUpToDate>false</LinksUpToDate>
  <CharactersWithSpaces>19060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mdcoroiu@yahoo.com</dc:creator>
  <cp:keywords/>
  <dc:description/>
  <cp:lastModifiedBy>mdcoroiu@yahoo.com</cp:lastModifiedBy>
  <cp:revision>1</cp:revision>
  <dcterms:created xsi:type="dcterms:W3CDTF">2023-04-19T09:40:00Z</dcterms:created>
  <dcterms:modified xsi:type="dcterms:W3CDTF">2023-04-19T09:40:00Z</dcterms:modified>
</cp:coreProperties>
</file>