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LEGE  Nr. 285/2022 din 26 octombrie 2022</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privind declararea bujorului ca floare naţională a României</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EMITENT:      PARLAMENTUL ROMÂNIEI</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PUBLICATĂ ÎN: MONITORUL OFICIAL  NR. 1041 din 27 octombrie 2022</w:t>
      </w:r>
    </w:p>
    <w:p w:rsidR="00D64C76" w:rsidRPr="00D64C76" w:rsidRDefault="00D64C76" w:rsidP="00D64C76">
      <w:pPr>
        <w:autoSpaceDE w:val="0"/>
        <w:autoSpaceDN w:val="0"/>
        <w:adjustRightInd w:val="0"/>
        <w:spacing w:after="0" w:line="240" w:lineRule="auto"/>
        <w:rPr>
          <w:rFonts w:cs="Times New Roman"/>
          <w:sz w:val="24"/>
          <w:szCs w:val="28"/>
          <w:lang w:val="ro-RO"/>
        </w:rPr>
      </w:pP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w:t>
      </w:r>
      <w:r w:rsidRPr="00D64C76">
        <w:rPr>
          <w:rFonts w:cs="Times New Roman"/>
          <w:b/>
          <w:bCs/>
          <w:sz w:val="24"/>
          <w:szCs w:val="28"/>
          <w:lang w:val="ro-RO"/>
        </w:rPr>
        <w:t>Parlamentul României</w:t>
      </w:r>
      <w:r w:rsidRPr="00D64C76">
        <w:rPr>
          <w:rFonts w:cs="Times New Roman"/>
          <w:sz w:val="24"/>
          <w:szCs w:val="28"/>
          <w:lang w:val="ro-RO"/>
        </w:rPr>
        <w:t xml:space="preserve"> adoptă prezenta lege.</w:t>
      </w:r>
    </w:p>
    <w:p w:rsidR="00D64C76" w:rsidRPr="00D64C76" w:rsidRDefault="00D64C76" w:rsidP="00D64C76">
      <w:pPr>
        <w:autoSpaceDE w:val="0"/>
        <w:autoSpaceDN w:val="0"/>
        <w:adjustRightInd w:val="0"/>
        <w:spacing w:after="0" w:line="240" w:lineRule="auto"/>
        <w:rPr>
          <w:rFonts w:cs="Times New Roman"/>
          <w:sz w:val="24"/>
          <w:szCs w:val="28"/>
          <w:lang w:val="ro-RO"/>
        </w:rPr>
      </w:pP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ART. 1</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Se declară bujorul, din familia Paeoniaceae, ca floare naţională a României.</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ART. 2</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În scopul marcării florii naţionale a României, anual, se organizează, la nivel naţional şi local, un Festival al bujorului, eveniment horticol în care vor fi expuse în aranjamente peisagistice şi ornamentale diferite specii de bujor. Cu această ocazie, în cadrul unor simpozioane ştiinţifice, vor fi prezentate caracteristici</w:t>
      </w:r>
      <w:bookmarkStart w:id="0" w:name="_GoBack"/>
      <w:bookmarkEnd w:id="0"/>
      <w:r w:rsidRPr="00D64C76">
        <w:rPr>
          <w:rFonts w:cs="Times New Roman"/>
          <w:sz w:val="24"/>
          <w:szCs w:val="28"/>
          <w:lang w:val="ro-RO"/>
        </w:rPr>
        <w:t>le biologice şi ornamentale ale diferitelor specii de bujor, îndeosebi ale celor sălbatice.</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ART. 3</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Autorităţile administraţiei publice locale pot sprijini material şi logistic întreţinerea şi protejarea rezervaţiilor naturale de bujor românesc şi vor lua măsuri pentru adaptarea la condiţiile pedoclimatice din România a diferitelor specii de bujor existente în alte ţări.</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ART. 4</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(1) Autorităţile administraţiei publice locale pot organiza anual expoziţii florale care să marcheze bujorul ca floare naţională a României şi vor amenaja în parcuri şi grădini publice spaţii florale rezervate cultivării acestuia.</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(2) Consiliile judeţene pot lua măsuri pentru înfiinţarea şi întreţinerea unor minigrădini botanice, în care bujorii să ocupe spaţii distincte.</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(3) Consiliile municipale pot sprijini amenajarea unor alei de bujor ca floare peisagistică urbană.</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(4) Uniunea Artiştilor Plastici va sprijini organizarea pe plan local a unor expoziţii de pictură consacrate bujorului.</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(5) Romfilatelia va cuprinde în planul său de emisiuni filatelice emiterea unor coliţe şi timbre filatelice consacrate bujorului.</w:t>
      </w:r>
    </w:p>
    <w:p w:rsidR="00D64C76" w:rsidRPr="00D64C76" w:rsidRDefault="00D64C76" w:rsidP="00D64C76">
      <w:pPr>
        <w:autoSpaceDE w:val="0"/>
        <w:autoSpaceDN w:val="0"/>
        <w:adjustRightInd w:val="0"/>
        <w:spacing w:after="0" w:line="240" w:lineRule="auto"/>
        <w:rPr>
          <w:rFonts w:cs="Times New Roman"/>
          <w:sz w:val="24"/>
          <w:szCs w:val="28"/>
          <w:lang w:val="ro-RO"/>
        </w:rPr>
      </w:pP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Această lege a fost adoptată de Parlamentul României, cu respectarea prevederilor art. 75 şi ale art. 76 alin. (2) din Constituţia României, republicată.</w:t>
      </w:r>
    </w:p>
    <w:p w:rsidR="00D64C76" w:rsidRPr="00D64C76" w:rsidRDefault="00D64C76" w:rsidP="00D64C76">
      <w:pPr>
        <w:autoSpaceDE w:val="0"/>
        <w:autoSpaceDN w:val="0"/>
        <w:adjustRightInd w:val="0"/>
        <w:spacing w:after="0" w:line="240" w:lineRule="auto"/>
        <w:rPr>
          <w:rFonts w:cs="Times New Roman"/>
          <w:sz w:val="24"/>
          <w:szCs w:val="28"/>
          <w:lang w:val="ro-RO"/>
        </w:rPr>
      </w:pP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p. PREŞEDINTELE CAMEREI DEPUTAŢILOR,</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w:t>
      </w:r>
      <w:r w:rsidRPr="00D64C76">
        <w:rPr>
          <w:rFonts w:cs="Times New Roman"/>
          <w:b/>
          <w:bCs/>
          <w:sz w:val="24"/>
          <w:szCs w:val="28"/>
          <w:lang w:val="ro-RO"/>
        </w:rPr>
        <w:t>CIPRIAN-CONSTANTIN ŞERBAN</w:t>
      </w:r>
    </w:p>
    <w:p w:rsidR="00D64C76" w:rsidRPr="00D64C76" w:rsidRDefault="00D64C76" w:rsidP="00D64C76">
      <w:pPr>
        <w:autoSpaceDE w:val="0"/>
        <w:autoSpaceDN w:val="0"/>
        <w:adjustRightInd w:val="0"/>
        <w:spacing w:after="0" w:line="240" w:lineRule="auto"/>
        <w:rPr>
          <w:rFonts w:cs="Times New Roman"/>
          <w:sz w:val="24"/>
          <w:szCs w:val="28"/>
          <w:lang w:val="ro-RO"/>
        </w:rPr>
      </w:pP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p. PREŞEDINTELE SENATULUI,</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w:t>
      </w:r>
      <w:r w:rsidRPr="00D64C76">
        <w:rPr>
          <w:rFonts w:cs="Times New Roman"/>
          <w:b/>
          <w:bCs/>
          <w:sz w:val="24"/>
          <w:szCs w:val="28"/>
          <w:lang w:val="ro-RO"/>
        </w:rPr>
        <w:t>ALINA-ŞTEFANIA GORGHIU</w:t>
      </w:r>
    </w:p>
    <w:p w:rsidR="00D64C76" w:rsidRPr="00D64C76" w:rsidRDefault="00D64C76" w:rsidP="00D64C76">
      <w:pPr>
        <w:autoSpaceDE w:val="0"/>
        <w:autoSpaceDN w:val="0"/>
        <w:adjustRightInd w:val="0"/>
        <w:spacing w:after="0" w:line="240" w:lineRule="auto"/>
        <w:rPr>
          <w:rFonts w:cs="Times New Roman"/>
          <w:sz w:val="24"/>
          <w:szCs w:val="28"/>
          <w:lang w:val="ro-RO"/>
        </w:rPr>
      </w:pP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Bucureşti, 26 octombrie 2022.</w:t>
      </w:r>
    </w:p>
    <w:p w:rsidR="00D64C76" w:rsidRPr="00D64C76" w:rsidRDefault="00D64C76" w:rsidP="00D64C76">
      <w:pPr>
        <w:autoSpaceDE w:val="0"/>
        <w:autoSpaceDN w:val="0"/>
        <w:adjustRightInd w:val="0"/>
        <w:spacing w:after="0" w:line="240" w:lineRule="auto"/>
        <w:rPr>
          <w:rFonts w:cs="Times New Roman"/>
          <w:sz w:val="24"/>
          <w:szCs w:val="28"/>
          <w:lang w:val="ro-RO"/>
        </w:rPr>
      </w:pPr>
      <w:r w:rsidRPr="00D64C76">
        <w:rPr>
          <w:rFonts w:cs="Times New Roman"/>
          <w:sz w:val="24"/>
          <w:szCs w:val="28"/>
          <w:lang w:val="ro-RO"/>
        </w:rPr>
        <w:t xml:space="preserve">    Nr. 285.</w:t>
      </w:r>
    </w:p>
    <w:p w:rsidR="00D64C76" w:rsidRPr="00D64C76" w:rsidRDefault="00D64C76" w:rsidP="00D64C76">
      <w:pPr>
        <w:autoSpaceDE w:val="0"/>
        <w:autoSpaceDN w:val="0"/>
        <w:adjustRightInd w:val="0"/>
        <w:spacing w:after="0" w:line="240" w:lineRule="auto"/>
        <w:rPr>
          <w:rFonts w:cs="Times New Roman"/>
          <w:sz w:val="24"/>
          <w:szCs w:val="28"/>
          <w:lang w:val="ro-RO"/>
        </w:rPr>
      </w:pPr>
    </w:p>
    <w:p w:rsidR="00433786" w:rsidRPr="00D64C76" w:rsidRDefault="00D64C76" w:rsidP="00D64C76">
      <w:pPr>
        <w:rPr>
          <w:sz w:val="20"/>
          <w:lang w:val="ro-RO"/>
        </w:rPr>
      </w:pPr>
      <w:r w:rsidRPr="00D64C76">
        <w:rPr>
          <w:rFonts w:cs="Times New Roman"/>
          <w:sz w:val="24"/>
          <w:szCs w:val="28"/>
          <w:lang w:val="ro-RO"/>
        </w:rPr>
        <w:t xml:space="preserve">                              ---------------</w:t>
      </w:r>
    </w:p>
    <w:sectPr w:rsidR="00433786" w:rsidRPr="00D64C76" w:rsidSect="00EC01BC">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C76"/>
    <w:rsid w:val="00433786"/>
    <w:rsid w:val="00D64C7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8A0FA-6823-4C3C-ACF9-FDF19507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2022-11-01T11:00:00Z</dcterms:created>
  <dcterms:modified xsi:type="dcterms:W3CDTF">2022-11-01T11:01:00Z</dcterms:modified>
</cp:coreProperties>
</file>