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59" w:lineRule="auto"/>
        <w:ind w:left="228" w:firstLine="0"/>
        <w:jc w:val="left"/>
      </w:pPr>
    </w:p>
    <w:p>
      <w:pPr>
        <w:spacing w:after="0" w:line="240" w:lineRule="auto"/>
        <w:ind w:left="8410" w:firstLine="140"/>
        <w:jc w:val="left"/>
      </w:pPr>
      <w:r>
        <w:rPr>
          <w:b/>
          <w:i/>
        </w:rPr>
        <w:t xml:space="preserve">ANEXA NR. 1  la  metodologie </w:t>
      </w:r>
    </w:p>
    <w:p>
      <w:pPr>
        <w:pStyle w:val="2"/>
        <w:ind w:left="179" w:right="2"/>
      </w:pPr>
      <w:r>
        <w:t>GRAFICUL desfăşurării concursului pentru acordarea gradaţiilor de merit - sesiunea 202</w:t>
      </w:r>
      <w:r>
        <w:rPr>
          <w:rFonts w:hint="default"/>
          <w:lang w:val="ro-RO"/>
        </w:rPr>
        <w:t>2</w:t>
      </w:r>
      <w:r>
        <w:t xml:space="preserve"> </w:t>
      </w:r>
    </w:p>
    <w:p>
      <w:pPr>
        <w:spacing w:after="0" w:line="259" w:lineRule="auto"/>
        <w:ind w:left="227" w:firstLine="0"/>
        <w:jc w:val="left"/>
      </w:pPr>
      <w:r>
        <w:t xml:space="preserve"> </w:t>
      </w:r>
    </w:p>
    <w:p>
      <w:pPr>
        <w:ind w:left="223" w:right="51"/>
      </w:pPr>
      <w:r>
        <w:t xml:space="preserve">    1. Detalierea punctajelor aferente criteriilor de către comisia paritară de la nivelul inspectoratului şcolar, stabilirea numărului gradaţiilor de merit şi a punctajului minim pe categorii de personal şi pe discipline/domenii/niveluri de învăţământ. Transmiterea propunerii Palatului Naţional al Copiilor către Ministerul Educaţiei cuprinzând numărul de gradaţii ce urmează a fi acordate </w:t>
      </w:r>
    </w:p>
    <w:p>
      <w:pPr>
        <w:ind w:right="51" w:firstLine="240" w:firstLineChars="0"/>
        <w:jc w:val="right"/>
      </w:pPr>
      <w:r>
        <w:rPr>
          <w:b/>
        </w:rPr>
        <w:t>Perioada: 1</w:t>
      </w:r>
      <w:r>
        <w:rPr>
          <w:rFonts w:hint="default"/>
          <w:b/>
          <w:lang w:val="ro-RO"/>
        </w:rPr>
        <w:t>8-19 aprilie 2022</w:t>
      </w:r>
      <w:r>
        <w:t xml:space="preserve">    </w:t>
      </w:r>
    </w:p>
    <w:p>
      <w:pPr>
        <w:ind w:right="51" w:firstLine="240" w:firstLineChars="0"/>
      </w:pPr>
      <w:r>
        <w:t xml:space="preserve">2. Comunicarea fişelor de (auto)evaluare, a numărului gradaţiilor de merit şi a punctajului minim pe categorii de personal şi pe discipline/domenii/niveluri de învăţământ de către inspectoratul şcolar în teritoriu </w:t>
      </w:r>
    </w:p>
    <w:p>
      <w:pPr>
        <w:spacing w:after="0" w:line="241" w:lineRule="auto"/>
        <w:jc w:val="right"/>
      </w:pPr>
      <w:r>
        <w:t xml:space="preserve">    </w:t>
      </w:r>
      <w:r>
        <w:rPr>
          <w:b/>
        </w:rPr>
        <w:t xml:space="preserve">Perioada: </w:t>
      </w:r>
      <w:r>
        <w:rPr>
          <w:rFonts w:hint="default"/>
          <w:b/>
          <w:lang w:val="ro-RO"/>
        </w:rPr>
        <w:t>20-21 aprilie 2022</w:t>
      </w:r>
      <w:r>
        <w:t xml:space="preserve"> </w:t>
      </w:r>
    </w:p>
    <w:p>
      <w:pPr>
        <w:spacing w:after="0" w:line="241" w:lineRule="auto"/>
        <w:jc w:val="left"/>
      </w:pPr>
      <w:r>
        <w:t xml:space="preserve">  3. Depunerea de către candidaţi a dosarelor la secretariatul unităţii/instituţiei de învăţământ preuniversitar de stat, cu personalitate juridică </w:t>
      </w:r>
    </w:p>
    <w:p>
      <w:pPr>
        <w:spacing w:after="0" w:line="241" w:lineRule="auto"/>
        <w:jc w:val="right"/>
      </w:pPr>
      <w:r>
        <w:t xml:space="preserve">    </w:t>
      </w:r>
      <w:r>
        <w:rPr>
          <w:b/>
        </w:rPr>
        <w:t xml:space="preserve">Perioada: </w:t>
      </w:r>
      <w:r>
        <w:rPr>
          <w:rFonts w:hint="default"/>
          <w:b/>
          <w:lang w:val="ro-RO"/>
        </w:rPr>
        <w:t>2-16 mai 2022</w:t>
      </w:r>
      <w:r>
        <w:t xml:space="preserve">  </w:t>
      </w:r>
    </w:p>
    <w:p>
      <w:pPr>
        <w:spacing w:after="0" w:line="241" w:lineRule="auto"/>
        <w:jc w:val="left"/>
      </w:pPr>
      <w:r>
        <w:t xml:space="preserve"> 4. Depunerea dosarelor care conţin documentele justificative privind activitatea candidatului respectiv la secretariatul/registratura inspectoratului şcolar/Ministerului Educaţiei, în cazul Palatului Naţional al Copiilor </w:t>
      </w:r>
    </w:p>
    <w:p>
      <w:pPr>
        <w:ind w:right="51"/>
        <w:jc w:val="right"/>
        <w:rPr>
          <w:rFonts w:hint="default"/>
          <w:lang w:val="ro-RO"/>
        </w:rPr>
      </w:pPr>
      <w:r>
        <w:t xml:space="preserve">    </w:t>
      </w:r>
      <w:r>
        <w:rPr>
          <w:b/>
        </w:rPr>
        <w:t xml:space="preserve">Perioada: </w:t>
      </w:r>
      <w:r>
        <w:rPr>
          <w:rFonts w:hint="default"/>
          <w:b/>
          <w:lang w:val="ro-RO"/>
        </w:rPr>
        <w:t>17-20 mai 2022</w:t>
      </w:r>
    </w:p>
    <w:p>
      <w:pPr>
        <w:ind w:right="51"/>
      </w:pPr>
      <w:r>
        <w:t xml:space="preserve">   5. Analiza dosarelor de către inspectorul şcolar care coordonează disciplina, cu consultarea consiliului consultativ, şi elaborarea raportului referitor la activitatea candidatului în specialitate; verificarea dosarelor şi acordarea punctajelor de către comisia de evaluare a dosarelor depuse în vederea acordării gradaţiei de merit; aprobarea listei cuprinzând punctajele acordate în urma evaluării de către consiliul de administraţie al inspectoratului şcolar şi afişarea acestei liste la avizierul şi pe site-ul inspectoratului şcolar, respectiv la sediul şi pe site-ul Ministerului Educaţiei după aprobarea de către comisia de evaluare, în cazul Palatului Naţional al Copiilor </w:t>
      </w:r>
    </w:p>
    <w:p>
      <w:pPr>
        <w:ind w:right="51"/>
        <w:jc w:val="right"/>
        <w:rPr>
          <w:rFonts w:hint="default"/>
          <w:lang w:val="ro-RO"/>
        </w:rPr>
      </w:pPr>
      <w:r>
        <w:t xml:space="preserve">    </w:t>
      </w:r>
      <w:r>
        <w:rPr>
          <w:b/>
        </w:rPr>
        <w:t xml:space="preserve">Perioada: </w:t>
      </w:r>
      <w:r>
        <w:rPr>
          <w:rFonts w:hint="default"/>
          <w:b/>
          <w:lang w:val="ro-RO"/>
        </w:rPr>
        <w:t>23</w:t>
      </w:r>
      <w:r>
        <w:rPr>
          <w:b/>
        </w:rPr>
        <w:t xml:space="preserve"> mai – </w:t>
      </w:r>
      <w:r>
        <w:rPr>
          <w:rFonts w:hint="default"/>
          <w:b/>
          <w:lang w:val="ro-RO"/>
        </w:rPr>
        <w:t>8</w:t>
      </w:r>
      <w:r>
        <w:rPr>
          <w:b/>
        </w:rPr>
        <w:t xml:space="preserve"> iunie 202</w:t>
      </w:r>
      <w:r>
        <w:rPr>
          <w:rFonts w:hint="default"/>
          <w:b/>
          <w:lang w:val="ro-RO"/>
        </w:rPr>
        <w:t>2</w:t>
      </w:r>
    </w:p>
    <w:p>
      <w:pPr>
        <w:ind w:right="51"/>
      </w:pPr>
      <w:r>
        <w:t xml:space="preserve">   6. Depunerea/Transmiterea contestaţiilor privind punctajul acordat şi stabilirea numărului gradaţiilor de merit ce pot fi redistribuite </w:t>
      </w:r>
    </w:p>
    <w:p>
      <w:pPr>
        <w:ind w:right="51"/>
        <w:jc w:val="right"/>
        <w:rPr>
          <w:rFonts w:hint="default"/>
          <w:b/>
          <w:lang w:val="ro-RO"/>
        </w:rPr>
      </w:pPr>
      <w:r>
        <w:rPr>
          <w:b/>
        </w:rPr>
        <w:t xml:space="preserve">    Perioada: </w:t>
      </w:r>
      <w:r>
        <w:rPr>
          <w:rFonts w:hint="default"/>
          <w:b/>
          <w:lang w:val="ro-RO"/>
        </w:rPr>
        <w:t>8-10</w:t>
      </w:r>
      <w:r>
        <w:rPr>
          <w:b/>
        </w:rPr>
        <w:t xml:space="preserve"> iunie 202</w:t>
      </w:r>
      <w:r>
        <w:rPr>
          <w:rFonts w:hint="default"/>
          <w:b/>
          <w:lang w:val="ro-RO"/>
        </w:rPr>
        <w:t>2</w:t>
      </w:r>
    </w:p>
    <w:p>
      <w:pPr>
        <w:ind w:right="51"/>
      </w:pPr>
      <w:r>
        <w:rPr>
          <w:b/>
        </w:rPr>
        <w:t xml:space="preserve"> </w:t>
      </w:r>
      <w:r>
        <w:t xml:space="preserve">    7. Soluţionarea contestaţiilor de către comisia de contestaţii, validarea rezultatelor finale ale concursului de către consiliul de administraţie al inspectoratului şcolar şi afişarea acestora la avizierul şi pe site-ul inspectoratului şcolar, respectiv la sediul şi pe site-ul Ministerului Educaţiei, în cazul Palatului Naţional al Copiilor </w:t>
      </w:r>
    </w:p>
    <w:p>
      <w:pPr>
        <w:ind w:right="51"/>
        <w:jc w:val="right"/>
      </w:pPr>
      <w:r>
        <w:t xml:space="preserve">    </w:t>
      </w:r>
      <w:r>
        <w:rPr>
          <w:b/>
        </w:rPr>
        <w:t>Termen: până la 2</w:t>
      </w:r>
      <w:r>
        <w:rPr>
          <w:rFonts w:hint="default"/>
          <w:b/>
          <w:lang w:val="ro-RO"/>
        </w:rPr>
        <w:t>2</w:t>
      </w:r>
      <w:r>
        <w:rPr>
          <w:b/>
        </w:rPr>
        <w:t xml:space="preserve"> iunie 202</w:t>
      </w:r>
      <w:r>
        <w:rPr>
          <w:rFonts w:hint="default"/>
          <w:b/>
          <w:lang w:val="ro-RO"/>
        </w:rPr>
        <w:t>2</w:t>
      </w:r>
      <w:r>
        <w:rPr>
          <w:b/>
        </w:rPr>
        <w:t xml:space="preserve"> </w:t>
      </w:r>
      <w:r>
        <w:t xml:space="preserve"> </w:t>
      </w:r>
    </w:p>
    <w:p>
      <w:pPr>
        <w:ind w:right="51"/>
      </w:pPr>
      <w:r>
        <w:t xml:space="preserve">   8. Înaintarea la Ministerul Educaţiei a listelor cu personalul didactic din unităţile de învăţământ preuniversitar de stat, cu personalitate juridică, validat, precum şi listelor cu personalul didactic civil din unităţi militare de învăţământ preuniversitar, validat, în vederea acordării gradaţiei de merit </w:t>
      </w:r>
    </w:p>
    <w:p>
      <w:pPr>
        <w:spacing w:after="0" w:line="259" w:lineRule="auto"/>
        <w:ind w:left="10" w:right="45"/>
        <w:jc w:val="right"/>
        <w:rPr>
          <w:rFonts w:hint="default"/>
          <w:lang w:val="ro-RO"/>
        </w:rPr>
      </w:pPr>
      <w:r>
        <w:t xml:space="preserve">    </w:t>
      </w:r>
      <w:r>
        <w:rPr>
          <w:b/>
        </w:rPr>
        <w:t>Termen: până la</w:t>
      </w:r>
      <w:r>
        <w:rPr>
          <w:rFonts w:hint="default"/>
          <w:b/>
          <w:lang w:val="ro-RO"/>
        </w:rPr>
        <w:t xml:space="preserve"> 30 iunie 2022</w:t>
      </w:r>
    </w:p>
    <w:p>
      <w:pPr>
        <w:ind w:left="223" w:right="51"/>
      </w:pPr>
      <w:r>
        <w:t xml:space="preserve">    9. Emiterea ordinului ministrului educaţiei pentru aprobarea listelor cu personalul didactic din învăţământul preuniversitar de stat care beneficiază de gradaţie de merit </w:t>
      </w:r>
    </w:p>
    <w:p>
      <w:pPr>
        <w:spacing w:after="0" w:line="259" w:lineRule="auto"/>
        <w:ind w:left="10" w:right="45"/>
        <w:jc w:val="right"/>
        <w:rPr>
          <w:rFonts w:hint="default"/>
          <w:lang w:val="ro-RO"/>
        </w:rPr>
      </w:pPr>
      <w:r>
        <w:t xml:space="preserve">    </w:t>
      </w:r>
      <w:r>
        <w:rPr>
          <w:b/>
        </w:rPr>
        <w:t xml:space="preserve">Termen: până la </w:t>
      </w:r>
      <w:r>
        <w:rPr>
          <w:rFonts w:hint="default"/>
          <w:b/>
          <w:lang w:val="ro-RO"/>
        </w:rPr>
        <w:t>8</w:t>
      </w:r>
      <w:r>
        <w:rPr>
          <w:b/>
        </w:rPr>
        <w:t xml:space="preserve"> august 202</w:t>
      </w:r>
      <w:r>
        <w:rPr>
          <w:rFonts w:hint="default"/>
          <w:b/>
          <w:lang w:val="ro-RO"/>
        </w:rPr>
        <w:t>2</w:t>
      </w:r>
      <w:bookmarkStart w:id="0" w:name="_GoBack"/>
      <w:bookmarkEnd w:id="0"/>
    </w:p>
    <w:p>
      <w:pPr>
        <w:spacing w:after="0" w:line="259" w:lineRule="auto"/>
        <w:ind w:left="0" w:firstLine="0"/>
        <w:jc w:val="right"/>
      </w:pPr>
      <w:r>
        <w:rPr>
          <w:b/>
        </w:rPr>
        <w:t xml:space="preserve"> </w:t>
      </w:r>
    </w:p>
    <w:p>
      <w:pPr>
        <w:spacing w:after="0" w:line="259" w:lineRule="auto"/>
        <w:ind w:left="0" w:firstLine="0"/>
        <w:jc w:val="right"/>
      </w:pPr>
      <w:r>
        <w:rPr>
          <w:b/>
        </w:rPr>
        <w:t xml:space="preserve"> </w:t>
      </w:r>
    </w:p>
    <w:p>
      <w:pPr>
        <w:spacing w:after="0" w:line="259" w:lineRule="auto"/>
        <w:ind w:left="0" w:firstLine="0"/>
        <w:jc w:val="right"/>
      </w:pPr>
      <w:r>
        <w:rPr>
          <w:b/>
        </w:rP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228" w:firstLine="0"/>
        <w:jc w:val="left"/>
      </w:pPr>
      <w:r>
        <w:t xml:space="preserve"> </w:t>
      </w:r>
    </w:p>
    <w:p>
      <w:pPr>
        <w:spacing w:after="0" w:line="259" w:lineRule="auto"/>
        <w:ind w:left="0" w:firstLine="0"/>
        <w:jc w:val="left"/>
      </w:pPr>
    </w:p>
    <w:sectPr>
      <w:headerReference r:id="rId7" w:type="first"/>
      <w:headerReference r:id="rId5" w:type="default"/>
      <w:headerReference r:id="rId6" w:type="even"/>
      <w:pgSz w:w="11900" w:h="16840"/>
      <w:pgMar w:top="290" w:right="1127" w:bottom="1002" w:left="650" w:header="708" w:footer="708" w:gutter="0"/>
      <w:pgNumType w:start="2"/>
      <w:cols w:space="708"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Palatino Linotype">
    <w:panose1 w:val="02040502050505030304"/>
    <w:charset w:val="EE"/>
    <w:family w:val="roman"/>
    <w:pitch w:val="default"/>
    <w:sig w:usb0="E0000287" w:usb1="40000013" w:usb2="00000000" w:usb3="00000000" w:csb0="2000019F" w:csb1="00000000"/>
  </w:font>
  <w:font w:name="Arial">
    <w:panose1 w:val="020B0604020202020204"/>
    <w:charset w:val="EE"/>
    <w:family w:val="swiss"/>
    <w:pitch w:val="default"/>
    <w:sig w:usb0="E0002EFF" w:usb1="C000785B" w:usb2="00000009" w:usb3="00000000" w:csb0="400001FF" w:csb1="FFFF0000"/>
  </w:font>
  <w:font w:name="等线">
    <w:altName w:val="Microsoft YaHe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9" w:lineRule="auto"/>
      </w:pPr>
      <w:r>
        <w:separator/>
      </w:r>
    </w:p>
  </w:footnote>
  <w:footnote w:type="continuationSeparator" w:id="1">
    <w:p>
      <w:pPr>
        <w:spacing w:before="0" w:after="0" w:line="24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5466"/>
        <w:tab w:val="right" w:pos="10851"/>
      </w:tabs>
      <w:spacing w:after="406" w:line="259" w:lineRule="auto"/>
      <w:ind w:left="0" w:right="-584" w:firstLine="0"/>
      <w:jc w:val="left"/>
    </w:pPr>
    <w:r>
      <w:rPr>
        <w:rFonts w:ascii="Calibri" w:hAnsi="Calibri" w:eastAsia="Calibri" w:cs="Calibri"/>
        <w:sz w:val="22"/>
      </w:rPr>
      <w:tab/>
    </w:r>
    <w:r>
      <w:rPr>
        <w:rFonts w:ascii="Arial" w:hAnsi="Arial" w:eastAsia="Arial" w:cs="Arial"/>
        <w:sz w:val="20"/>
      </w:rPr>
      <w:t>MONITORUL OFICIAL AL ROMÂNIEI, PARTEA I, Nr. 473 bis/6.V.2021</w:t>
    </w:r>
    <w:r>
      <w:rPr>
        <w:rFonts w:ascii="Arial" w:hAnsi="Arial" w:eastAsia="Arial" w:cs="Arial"/>
        <w:sz w:val="20"/>
      </w:rPr>
      <w:tab/>
    </w:r>
    <w:r>
      <w:fldChar w:fldCharType="begin"/>
    </w:r>
    <w:r>
      <w:instrText xml:space="preserve"> PAGE   \* MERGEFORMAT </w:instrText>
    </w:r>
    <w:r>
      <w:fldChar w:fldCharType="separate"/>
    </w:r>
    <w:r>
      <w:rPr>
        <w:rFonts w:ascii="Arial" w:hAnsi="Arial" w:eastAsia="Arial" w:cs="Arial"/>
        <w:sz w:val="20"/>
      </w:rPr>
      <w:t>3</w:t>
    </w:r>
    <w:r>
      <w:rPr>
        <w:rFonts w:ascii="Arial" w:hAnsi="Arial" w:eastAsia="Arial" w:cs="Arial"/>
        <w:sz w:val="20"/>
      </w:rPr>
      <w:fldChar w:fldCharType="end"/>
    </w:r>
  </w:p>
  <w:p>
    <w:pPr>
      <w:spacing w:after="0" w:line="259" w:lineRule="auto"/>
      <w:ind w:left="394" w:firstLine="0"/>
      <w:jc w:val="left"/>
    </w:pPr>
    <w:r>
      <w:rPr>
        <w:rFonts w:ascii="Times New Roman" w:hAnsi="Times New Roman" w:eastAsia="Times New Roman" w:cs="Times New Roman"/>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5466"/>
      </w:tabs>
      <w:spacing w:after="406" w:line="259" w:lineRule="auto"/>
      <w:ind w:left="0" w:firstLine="0"/>
      <w:jc w:val="left"/>
    </w:pPr>
    <w:r>
      <w:fldChar w:fldCharType="begin"/>
    </w:r>
    <w:r>
      <w:instrText xml:space="preserve"> PAGE   \* MERGEFORMAT </w:instrText>
    </w:r>
    <w:r>
      <w:fldChar w:fldCharType="separate"/>
    </w:r>
    <w:r>
      <w:rPr>
        <w:rFonts w:ascii="Arial" w:hAnsi="Arial" w:eastAsia="Arial" w:cs="Arial"/>
        <w:sz w:val="20"/>
      </w:rPr>
      <w:t>4</w:t>
    </w:r>
    <w:r>
      <w:rPr>
        <w:rFonts w:ascii="Arial" w:hAnsi="Arial" w:eastAsia="Arial" w:cs="Arial"/>
        <w:sz w:val="20"/>
      </w:rPr>
      <w:fldChar w:fldCharType="end"/>
    </w:r>
    <w:r>
      <w:rPr>
        <w:rFonts w:ascii="Arial" w:hAnsi="Arial" w:eastAsia="Arial" w:cs="Arial"/>
        <w:sz w:val="20"/>
      </w:rPr>
      <w:tab/>
    </w:r>
    <w:r>
      <w:rPr>
        <w:rFonts w:ascii="Arial" w:hAnsi="Arial" w:eastAsia="Arial" w:cs="Arial"/>
        <w:sz w:val="20"/>
      </w:rPr>
      <w:t>MONITORUL OFICIAL AL ROMÂNIEI, PARTEA I, Nr. 473 bis/6.V.2021</w:t>
    </w:r>
  </w:p>
  <w:p>
    <w:pPr>
      <w:spacing w:after="0" w:line="259" w:lineRule="auto"/>
      <w:ind w:left="394" w:firstLine="0"/>
      <w:jc w:val="left"/>
    </w:pPr>
    <w:r>
      <w:rPr>
        <w:rFonts w:ascii="Times New Roman" w:hAnsi="Times New Roman" w:eastAsia="Times New Roman" w:cs="Times New Roman"/>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5466"/>
        <w:tab w:val="right" w:pos="10851"/>
      </w:tabs>
      <w:spacing w:after="406" w:line="259" w:lineRule="auto"/>
      <w:ind w:left="0" w:right="-584" w:firstLine="0"/>
      <w:jc w:val="left"/>
    </w:pPr>
    <w:r>
      <w:rPr>
        <w:rFonts w:ascii="Calibri" w:hAnsi="Calibri" w:eastAsia="Calibri" w:cs="Calibri"/>
        <w:sz w:val="22"/>
      </w:rPr>
      <w:tab/>
    </w:r>
    <w:r>
      <w:rPr>
        <w:rFonts w:ascii="Arial" w:hAnsi="Arial" w:eastAsia="Arial" w:cs="Arial"/>
        <w:sz w:val="20"/>
      </w:rPr>
      <w:t xml:space="preserve">MONITORUL OFICIAL AL ROMÂNIEI, PARTEA I, Nr. </w:t>
    </w:r>
    <w:r>
      <w:rPr>
        <w:rFonts w:hint="default" w:ascii="Arial" w:hAnsi="Arial" w:eastAsia="Arial" w:cs="Arial"/>
        <w:sz w:val="20"/>
        <w:lang w:val="ro-RO"/>
      </w:rPr>
      <w:t>378</w:t>
    </w:r>
    <w:r>
      <w:rPr>
        <w:rFonts w:ascii="Arial" w:hAnsi="Arial" w:eastAsia="Arial" w:cs="Arial"/>
        <w:sz w:val="20"/>
      </w:rPr>
      <w:t xml:space="preserve"> bis/</w:t>
    </w:r>
    <w:r>
      <w:rPr>
        <w:rFonts w:hint="default" w:ascii="Arial" w:hAnsi="Arial" w:eastAsia="Arial" w:cs="Arial"/>
        <w:sz w:val="20"/>
        <w:lang w:val="ro-RO"/>
      </w:rPr>
      <w:t>15</w:t>
    </w:r>
    <w:r>
      <w:rPr>
        <w:rFonts w:ascii="Arial" w:hAnsi="Arial" w:eastAsia="Arial" w:cs="Arial"/>
        <w:sz w:val="20"/>
      </w:rPr>
      <w:t>.</w:t>
    </w:r>
    <w:r>
      <w:rPr>
        <w:rFonts w:hint="default" w:ascii="Arial" w:hAnsi="Arial" w:eastAsia="Arial" w:cs="Arial"/>
        <w:sz w:val="20"/>
        <w:lang w:val="ro-RO"/>
      </w:rPr>
      <w:t>I</w:t>
    </w:r>
    <w:r>
      <w:rPr>
        <w:rFonts w:ascii="Arial" w:hAnsi="Arial" w:eastAsia="Arial" w:cs="Arial"/>
        <w:sz w:val="20"/>
      </w:rPr>
      <w:t>V.202</w:t>
    </w:r>
    <w:r>
      <w:rPr>
        <w:rFonts w:hint="default" w:ascii="Arial" w:hAnsi="Arial" w:eastAsia="Arial" w:cs="Arial"/>
        <w:sz w:val="20"/>
        <w:lang w:val="ro-RO"/>
      </w:rPr>
      <w:t>2</w:t>
    </w:r>
    <w:r>
      <w:rPr>
        <w:rFonts w:ascii="Arial" w:hAnsi="Arial" w:eastAsia="Arial" w:cs="Arial"/>
        <w:sz w:val="20"/>
      </w:rPr>
      <w:tab/>
    </w:r>
    <w:r>
      <w:fldChar w:fldCharType="begin"/>
    </w:r>
    <w:r>
      <w:instrText xml:space="preserve"> PAGE   \* MERGEFORMAT </w:instrText>
    </w:r>
    <w:r>
      <w:fldChar w:fldCharType="separate"/>
    </w:r>
    <w:r>
      <w:rPr>
        <w:rFonts w:ascii="Arial" w:hAnsi="Arial" w:eastAsia="Arial" w:cs="Arial"/>
        <w:sz w:val="20"/>
      </w:rPr>
      <w:t>2</w:t>
    </w:r>
    <w:r>
      <w:rPr>
        <w:rFonts w:ascii="Arial" w:hAnsi="Arial" w:eastAsia="Arial" w:cs="Arial"/>
        <w:sz w:val="20"/>
      </w:rPr>
      <w:fldChar w:fldCharType="end"/>
    </w:r>
  </w:p>
  <w:p>
    <w:pPr>
      <w:spacing w:after="0" w:line="259" w:lineRule="auto"/>
      <w:ind w:left="394" w:firstLine="0"/>
      <w:jc w:val="left"/>
    </w:pPr>
    <w:r>
      <w:rPr>
        <w:rFonts w:ascii="Times New Roman" w:hAnsi="Times New Roman" w:eastAsia="Times New Roman" w:cs="Times New Roman"/>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evenAndOddHeaders w:val="1"/>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F2F"/>
    <w:rsid w:val="0008464D"/>
    <w:rsid w:val="00317F69"/>
    <w:rsid w:val="00390DD2"/>
    <w:rsid w:val="004F7F2F"/>
    <w:rsid w:val="00546C89"/>
    <w:rsid w:val="00F67DF0"/>
    <w:rsid w:val="02957CC8"/>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5" w:line="249" w:lineRule="auto"/>
      <w:ind w:left="238" w:hanging="10"/>
      <w:jc w:val="both"/>
    </w:pPr>
    <w:rPr>
      <w:rFonts w:ascii="Palatino Linotype" w:hAnsi="Palatino Linotype" w:eastAsia="Palatino Linotype" w:cs="Palatino Linotype"/>
      <w:color w:val="000000"/>
      <w:sz w:val="24"/>
      <w:szCs w:val="22"/>
      <w:lang w:val="ro-RO" w:eastAsia="ro-RO" w:bidi="ar-SA"/>
    </w:rPr>
  </w:style>
  <w:style w:type="paragraph" w:styleId="2">
    <w:name w:val="heading 1"/>
    <w:next w:val="1"/>
    <w:link w:val="6"/>
    <w:unhideWhenUsed/>
    <w:qFormat/>
    <w:uiPriority w:val="9"/>
    <w:pPr>
      <w:keepNext/>
      <w:keepLines/>
      <w:spacing w:after="5" w:line="250" w:lineRule="auto"/>
      <w:ind w:left="10" w:right="43" w:hanging="10"/>
      <w:jc w:val="center"/>
      <w:outlineLvl w:val="0"/>
    </w:pPr>
    <w:rPr>
      <w:rFonts w:ascii="Palatino Linotype" w:hAnsi="Palatino Linotype" w:eastAsia="Palatino Linotype" w:cs="Palatino Linotype"/>
      <w:b/>
      <w:color w:val="000000"/>
      <w:sz w:val="24"/>
      <w:szCs w:val="22"/>
      <w:lang w:val="ro-RO" w:eastAsia="ro-RO" w:bidi="ar-SA"/>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footer"/>
    <w:basedOn w:val="1"/>
    <w:semiHidden/>
    <w:unhideWhenUsed/>
    <w:uiPriority w:val="99"/>
    <w:pPr>
      <w:tabs>
        <w:tab w:val="center" w:pos="4153"/>
        <w:tab w:val="right" w:pos="8306"/>
      </w:tabs>
      <w:snapToGrid w:val="0"/>
      <w:jc w:val="left"/>
    </w:pPr>
    <w:rPr>
      <w:sz w:val="18"/>
      <w:szCs w:val="18"/>
    </w:rPr>
  </w:style>
  <w:style w:type="character" w:customStyle="1" w:styleId="6">
    <w:name w:val="Heading 1 Char"/>
    <w:link w:val="2"/>
    <w:uiPriority w:val="0"/>
    <w:rPr>
      <w:rFonts w:ascii="Palatino Linotype" w:hAnsi="Palatino Linotype" w:eastAsia="Palatino Linotype" w:cs="Palatino Linotype"/>
      <w:b/>
      <w:color w:val="000000"/>
      <w:sz w:val="24"/>
    </w:rPr>
  </w:style>
  <w:style w:type="table" w:customStyle="1" w:styleId="7">
    <w:name w:val="TableGrid"/>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461</Words>
  <Characters>2678</Characters>
  <Lines>22</Lines>
  <Paragraphs>6</Paragraphs>
  <TotalTime>8</TotalTime>
  <ScaleCrop>false</ScaleCrop>
  <LinksUpToDate>false</LinksUpToDate>
  <CharactersWithSpaces>3133</CharactersWithSpaces>
  <Application>WPS Office_11.2.0.11074_F1E327BC-269C-435d-A152-05C5408002CA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2021-05-12T17:25:00Z</dcterms:created>
  <dc:creator>ccdmm</dc:creator>
  <cp:lastModifiedBy>LTTABS10</cp:lastModifiedBy>
  <dcterms:modified xsi:type="dcterms:W3CDTF">2022-04-20T05:56:21Z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1033-11.2.0.11074</vt:lpwstr>
  </property>
  <property fmtid="{D5CDD505-2E9C-101B-9397-08002B2CF9AE}" pid="3" name="ICV">
    <vt:lpwstr>11F71E3639AE45A7A4394F26194036CF</vt:lpwstr>
  </property>
</Properties>
</file>